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605E90" w:rsidRPr="00605E90">
        <w:trPr>
          <w:tblCellSpacing w:w="0" w:type="dxa"/>
        </w:trPr>
        <w:tc>
          <w:tcPr>
            <w:tcW w:w="0" w:type="auto"/>
            <w:shd w:val="clear" w:color="auto" w:fill="FFFFFF"/>
            <w:vAlign w:val="center"/>
            <w:hideMark/>
          </w:tcPr>
          <w:p w:rsidR="00605E90" w:rsidRPr="00605E90" w:rsidRDefault="00605E90" w:rsidP="00605E90">
            <w:pPr>
              <w:widowControl/>
              <w:spacing w:line="330" w:lineRule="atLeast"/>
              <w:jc w:val="center"/>
              <w:rPr>
                <w:rFonts w:ascii="微软雅黑" w:eastAsia="微软雅黑" w:hAnsi="微软雅黑" w:cs="宋体"/>
                <w:color w:val="000000"/>
                <w:kern w:val="0"/>
                <w:sz w:val="18"/>
                <w:szCs w:val="18"/>
              </w:rPr>
            </w:pPr>
          </w:p>
        </w:tc>
      </w:tr>
      <w:tr w:rsidR="00605E90" w:rsidRPr="00605E90">
        <w:trPr>
          <w:tblCellSpacing w:w="0" w:type="dxa"/>
        </w:trPr>
        <w:tc>
          <w:tcPr>
            <w:tcW w:w="0" w:type="auto"/>
            <w:shd w:val="clear" w:color="auto" w:fill="EDEDED"/>
            <w:vAlign w:val="center"/>
            <w:hideMark/>
          </w:tcPr>
          <w:tbl>
            <w:tblPr>
              <w:tblW w:w="5000" w:type="pct"/>
              <w:jc w:val="center"/>
              <w:tblCellSpacing w:w="0" w:type="dxa"/>
              <w:tblCellMar>
                <w:left w:w="0" w:type="dxa"/>
                <w:right w:w="0" w:type="dxa"/>
              </w:tblCellMar>
              <w:tblLook w:val="04A0"/>
            </w:tblPr>
            <w:tblGrid>
              <w:gridCol w:w="6056"/>
              <w:gridCol w:w="2250"/>
            </w:tblGrid>
            <w:tr w:rsidR="00605E90" w:rsidRPr="00605E90">
              <w:trPr>
                <w:tblCellSpacing w:w="0" w:type="dxa"/>
                <w:jc w:val="center"/>
              </w:trPr>
              <w:tc>
                <w:tcPr>
                  <w:tcW w:w="0" w:type="auto"/>
                  <w:vAlign w:val="center"/>
                  <w:hideMark/>
                </w:tcPr>
                <w:p w:rsidR="00605E90" w:rsidRPr="00605E90" w:rsidRDefault="00605E90" w:rsidP="00605E90">
                  <w:pPr>
                    <w:widowControl/>
                    <w:spacing w:line="330" w:lineRule="atLeast"/>
                    <w:jc w:val="center"/>
                    <w:rPr>
                      <w:rFonts w:ascii="微软雅黑" w:eastAsia="微软雅黑" w:hAnsi="微软雅黑" w:cs="宋体"/>
                      <w:color w:val="000000"/>
                      <w:kern w:val="0"/>
                      <w:sz w:val="18"/>
                      <w:szCs w:val="18"/>
                    </w:rPr>
                  </w:pPr>
                </w:p>
              </w:tc>
              <w:tc>
                <w:tcPr>
                  <w:tcW w:w="2250" w:type="dxa"/>
                  <w:vAlign w:val="center"/>
                  <w:hideMark/>
                </w:tcPr>
                <w:p w:rsidR="00605E90" w:rsidRPr="00605E90" w:rsidRDefault="00605E90" w:rsidP="00605E90">
                  <w:pPr>
                    <w:widowControl/>
                    <w:spacing w:line="330" w:lineRule="atLeast"/>
                    <w:jc w:val="center"/>
                    <w:rPr>
                      <w:rFonts w:ascii="微软雅黑" w:eastAsia="微软雅黑" w:hAnsi="微软雅黑" w:cs="宋体"/>
                      <w:color w:val="000000"/>
                      <w:kern w:val="0"/>
                      <w:sz w:val="18"/>
                      <w:szCs w:val="18"/>
                    </w:rPr>
                  </w:pPr>
                </w:p>
              </w:tc>
            </w:tr>
          </w:tbl>
          <w:p w:rsidR="00605E90" w:rsidRPr="00605E90" w:rsidRDefault="00605E90" w:rsidP="00605E90">
            <w:pPr>
              <w:widowControl/>
              <w:spacing w:line="330" w:lineRule="atLeast"/>
              <w:jc w:val="center"/>
              <w:rPr>
                <w:rFonts w:ascii="微软雅黑" w:eastAsia="微软雅黑" w:hAnsi="微软雅黑" w:cs="宋体"/>
                <w:color w:val="000000"/>
                <w:kern w:val="0"/>
                <w:sz w:val="18"/>
                <w:szCs w:val="18"/>
              </w:rPr>
            </w:pPr>
          </w:p>
        </w:tc>
      </w:tr>
      <w:tr w:rsidR="00605E90" w:rsidRPr="00605E90">
        <w:trPr>
          <w:tblCellSpacing w:w="0" w:type="dxa"/>
        </w:trPr>
        <w:tc>
          <w:tcPr>
            <w:tcW w:w="0" w:type="auto"/>
            <w:shd w:val="clear" w:color="auto" w:fill="FFFFFF"/>
            <w:vAlign w:val="center"/>
            <w:hideMark/>
          </w:tcPr>
          <w:p w:rsidR="00605E90" w:rsidRPr="00605E90" w:rsidRDefault="00605E90" w:rsidP="00605E90">
            <w:pPr>
              <w:widowControl/>
              <w:spacing w:line="330" w:lineRule="atLeast"/>
              <w:jc w:val="center"/>
              <w:rPr>
                <w:rFonts w:ascii="微软雅黑" w:eastAsia="微软雅黑" w:hAnsi="微软雅黑" w:cs="宋体"/>
                <w:color w:val="000000"/>
                <w:kern w:val="0"/>
                <w:sz w:val="18"/>
                <w:szCs w:val="18"/>
              </w:rPr>
            </w:pPr>
            <w:r>
              <w:rPr>
                <w:rFonts w:ascii="微软雅黑" w:eastAsia="微软雅黑" w:hAnsi="微软雅黑" w:cs="宋体"/>
                <w:noProof/>
                <w:color w:val="000000"/>
                <w:kern w:val="0"/>
                <w:sz w:val="18"/>
                <w:szCs w:val="18"/>
              </w:rPr>
              <w:drawing>
                <wp:inline distT="0" distB="0" distL="0" distR="0">
                  <wp:extent cx="7315200" cy="9525"/>
                  <wp:effectExtent l="0" t="0" r="0" b="0"/>
                  <wp:docPr id="4" name="图片 4" descr="http://www.hnrtu.edu.cn/redwind/images/list_r2_c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nrtu.edu.cn/redwind/images/list_r2_c6.gif"/>
                          <pic:cNvPicPr>
                            <a:picLocks noChangeAspect="1" noChangeArrowheads="1"/>
                          </pic:cNvPicPr>
                        </pic:nvPicPr>
                        <pic:blipFill>
                          <a:blip r:embed="rId6"/>
                          <a:srcRect/>
                          <a:stretch>
                            <a:fillRect/>
                          </a:stretch>
                        </pic:blipFill>
                        <pic:spPr bwMode="auto">
                          <a:xfrm>
                            <a:off x="0" y="0"/>
                            <a:ext cx="7315200" cy="9525"/>
                          </a:xfrm>
                          <a:prstGeom prst="rect">
                            <a:avLst/>
                          </a:prstGeom>
                          <a:noFill/>
                          <a:ln w="9525">
                            <a:noFill/>
                            <a:miter lim="800000"/>
                            <a:headEnd/>
                            <a:tailEnd/>
                          </a:ln>
                        </pic:spPr>
                      </pic:pic>
                    </a:graphicData>
                  </a:graphic>
                </wp:inline>
              </w:drawing>
            </w:r>
          </w:p>
        </w:tc>
      </w:tr>
      <w:tr w:rsidR="00605E90" w:rsidRPr="00605E90">
        <w:trPr>
          <w:trHeight w:val="5400"/>
          <w:tblCellSpacing w:w="0" w:type="dxa"/>
        </w:trPr>
        <w:tc>
          <w:tcPr>
            <w:tcW w:w="0" w:type="auto"/>
            <w:shd w:val="clear" w:color="auto" w:fill="FFFFFF"/>
          </w:tcPr>
          <w:p w:rsidR="00605E90" w:rsidRPr="00605E90" w:rsidRDefault="00605E90" w:rsidP="00605E90">
            <w:pPr>
              <w:widowControl/>
              <w:spacing w:line="360" w:lineRule="auto"/>
              <w:jc w:val="left"/>
              <w:rPr>
                <w:rFonts w:ascii="微软雅黑" w:eastAsia="微软雅黑" w:hAnsi="微软雅黑" w:cs="宋体" w:hint="eastAsia"/>
                <w:color w:val="000000"/>
                <w:kern w:val="0"/>
                <w:szCs w:val="21"/>
              </w:rPr>
            </w:pPr>
            <w:r w:rsidRPr="00605E90">
              <w:rPr>
                <w:rFonts w:ascii="微软雅黑" w:eastAsia="微软雅黑" w:hAnsi="微软雅黑" w:cs="宋体" w:hint="eastAsia"/>
                <w:color w:val="000000"/>
                <w:kern w:val="0"/>
                <w:sz w:val="18"/>
                <w:szCs w:val="18"/>
              </w:rPr>
              <w:br/>
            </w:r>
            <w:r w:rsidRPr="00605E90">
              <w:rPr>
                <w:rFonts w:ascii="微软雅黑" w:eastAsia="微软雅黑" w:hAnsi="微软雅黑" w:cs="宋体" w:hint="eastAsia"/>
                <w:color w:val="000000"/>
                <w:kern w:val="0"/>
                <w:sz w:val="18"/>
                <w:szCs w:val="18"/>
              </w:rPr>
              <w:br/>
            </w:r>
            <w:r w:rsidRPr="00605E90">
              <w:rPr>
                <w:rFonts w:ascii="微软雅黑" w:eastAsia="微软雅黑" w:hAnsi="微软雅黑" w:cs="宋体" w:hint="eastAsia"/>
                <w:color w:val="000000"/>
                <w:kern w:val="0"/>
                <w:szCs w:val="21"/>
              </w:rPr>
              <w:t xml:space="preserve">    </w:t>
            </w:r>
          </w:p>
          <w:p w:rsidR="00605E90" w:rsidRPr="00605E90" w:rsidRDefault="00605E90" w:rsidP="00605E90">
            <w:pPr>
              <w:widowControl/>
              <w:tabs>
                <w:tab w:val="left" w:pos="2828"/>
                <w:tab w:val="left" w:pos="3654"/>
              </w:tabs>
              <w:adjustRightInd w:val="0"/>
              <w:snapToGrid w:val="0"/>
              <w:spacing w:line="360" w:lineRule="auto"/>
              <w:ind w:rightChars="-50" w:right="-105"/>
              <w:jc w:val="center"/>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湘电大校通〔2014〕85号</w:t>
            </w:r>
          </w:p>
          <w:p w:rsidR="00605E90" w:rsidRPr="00605E90" w:rsidRDefault="00605E90" w:rsidP="00605E90">
            <w:pPr>
              <w:widowControl/>
              <w:tabs>
                <w:tab w:val="left" w:pos="2828"/>
              </w:tabs>
              <w:snapToGrid w:val="0"/>
              <w:spacing w:line="260" w:lineRule="exact"/>
              <w:jc w:val="left"/>
              <w:rPr>
                <w:rFonts w:ascii="方正书宋简体" w:eastAsia="方正书宋简体" w:hAnsi="宋体" w:cs="宋体" w:hint="eastAsia"/>
                <w:b/>
                <w:color w:val="000000"/>
                <w:kern w:val="0"/>
                <w:sz w:val="28"/>
                <w:szCs w:val="28"/>
              </w:rPr>
            </w:pPr>
          </w:p>
          <w:p w:rsidR="00605E90" w:rsidRPr="00605E90" w:rsidRDefault="00605E90" w:rsidP="00605E90">
            <w:pPr>
              <w:widowControl/>
              <w:spacing w:line="260" w:lineRule="exact"/>
              <w:jc w:val="left"/>
              <w:rPr>
                <w:rFonts w:ascii="宋体" w:eastAsia="宋体" w:hAnsi="宋体" w:cs="宋体" w:hint="eastAsia"/>
                <w:b/>
                <w:color w:val="000000"/>
                <w:kern w:val="0"/>
                <w:sz w:val="28"/>
                <w:szCs w:val="28"/>
              </w:rPr>
            </w:pPr>
          </w:p>
          <w:p w:rsidR="00605E90" w:rsidRPr="00605E90" w:rsidRDefault="00605E90" w:rsidP="00605E90">
            <w:pPr>
              <w:widowControl/>
              <w:tabs>
                <w:tab w:val="left" w:pos="2828"/>
              </w:tabs>
              <w:spacing w:line="360" w:lineRule="auto"/>
              <w:jc w:val="center"/>
              <w:rPr>
                <w:rFonts w:ascii="方正书宋简体" w:eastAsia="方正书宋简体" w:hAnsi="宋体" w:cs="宋体"/>
                <w:b/>
                <w:color w:val="000000"/>
                <w:kern w:val="0"/>
                <w:sz w:val="36"/>
                <w:szCs w:val="36"/>
              </w:rPr>
            </w:pPr>
            <w:r w:rsidRPr="00605E90">
              <w:rPr>
                <w:rFonts w:ascii="方正书宋简体" w:eastAsia="方正书宋简体" w:hAnsi="宋体" w:cs="宋体" w:hint="eastAsia"/>
                <w:b/>
                <w:color w:val="000000"/>
                <w:kern w:val="0"/>
                <w:sz w:val="36"/>
                <w:szCs w:val="36"/>
              </w:rPr>
              <w:t>关于2014年下学期参加国家开放大学</w:t>
            </w:r>
          </w:p>
          <w:p w:rsidR="00605E90" w:rsidRPr="00605E90" w:rsidRDefault="00605E90" w:rsidP="00605E90">
            <w:pPr>
              <w:widowControl/>
              <w:tabs>
                <w:tab w:val="left" w:pos="2828"/>
              </w:tabs>
              <w:spacing w:line="360" w:lineRule="auto"/>
              <w:jc w:val="center"/>
              <w:rPr>
                <w:rFonts w:ascii="方正书宋简体" w:eastAsia="方正书宋简体" w:hAnsi="宋体" w:cs="宋体" w:hint="eastAsia"/>
                <w:b/>
                <w:color w:val="000000"/>
                <w:kern w:val="0"/>
                <w:sz w:val="36"/>
                <w:szCs w:val="36"/>
              </w:rPr>
            </w:pPr>
            <w:r w:rsidRPr="00605E90">
              <w:rPr>
                <w:rFonts w:ascii="方正书宋简体" w:eastAsia="方正书宋简体" w:hAnsi="宋体" w:cs="宋体" w:hint="eastAsia"/>
                <w:b/>
                <w:color w:val="000000"/>
                <w:kern w:val="0"/>
                <w:sz w:val="36"/>
                <w:szCs w:val="36"/>
              </w:rPr>
              <w:t>基于网络课程考核工作安排的通知</w:t>
            </w:r>
          </w:p>
          <w:p w:rsidR="00605E90" w:rsidRPr="00605E90" w:rsidRDefault="00605E90" w:rsidP="00605E90">
            <w:pPr>
              <w:widowControl/>
              <w:spacing w:line="360" w:lineRule="auto"/>
              <w:jc w:val="left"/>
              <w:rPr>
                <w:rFonts w:ascii="宋体" w:eastAsia="宋体" w:hAnsi="宋体" w:cs="宋体" w:hint="eastAsia"/>
                <w:color w:val="000000"/>
                <w:kern w:val="0"/>
                <w:sz w:val="24"/>
                <w:szCs w:val="24"/>
              </w:rPr>
            </w:pPr>
          </w:p>
          <w:p w:rsidR="00605E90" w:rsidRPr="00605E90" w:rsidRDefault="00605E90" w:rsidP="00605E90">
            <w:pPr>
              <w:widowControl/>
              <w:tabs>
                <w:tab w:val="left" w:pos="2828"/>
              </w:tabs>
              <w:spacing w:line="360" w:lineRule="auto"/>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各分校，直属学院：</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根据国家开放大学（中央广播电视大学）《关于2014年春季基于网络课程考核安排的通知》(国开考〔2014〕11号)精神，省校决定本学期继续参加国家开放大学基于网络考核课程考核工作（以下简称“网考”）。现将有关事项通知你们，请认真组织实施。</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黑体" w:eastAsia="黑体" w:hAnsi="宋体" w:cs="宋体" w:hint="eastAsia"/>
                <w:color w:val="000000"/>
                <w:kern w:val="0"/>
                <w:sz w:val="32"/>
                <w:szCs w:val="32"/>
              </w:rPr>
              <w:t>一、本学期网考课程安排</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全省电大本学期共组织参加国家开放大学67门课程网络考核，其中本科课程31门，专科课程36门（详见附件）。其中，语言学概论（本科）等46门课程（附件中带</w:t>
            </w:r>
            <w:r w:rsidRPr="00605E90">
              <w:rPr>
                <w:rFonts w:ascii="仿宋_GB2312" w:eastAsia="仿宋_GB2312" w:hAnsi="宋体" w:cs="宋体"/>
                <w:color w:val="000000"/>
                <w:kern w:val="0"/>
                <w:sz w:val="32"/>
                <w:szCs w:val="32"/>
              </w:rPr>
              <w:t>“</w:t>
            </w:r>
            <w:r w:rsidRPr="00605E90">
              <w:rPr>
                <w:rFonts w:ascii="仿宋_GB2312" w:eastAsia="仿宋_GB2312" w:hAnsi="宋体" w:cs="宋体" w:hint="eastAsia"/>
                <w:color w:val="000000"/>
                <w:kern w:val="0"/>
                <w:sz w:val="32"/>
                <w:szCs w:val="32"/>
              </w:rPr>
              <w:t>◆</w:t>
            </w:r>
            <w:r w:rsidRPr="00605E90">
              <w:rPr>
                <w:rFonts w:ascii="仿宋_GB2312" w:eastAsia="仿宋_GB2312" w:hAnsi="宋体" w:cs="宋体"/>
                <w:color w:val="000000"/>
                <w:kern w:val="0"/>
                <w:sz w:val="32"/>
                <w:szCs w:val="32"/>
              </w:rPr>
              <w:t>”</w:t>
            </w:r>
            <w:r w:rsidRPr="00605E90">
              <w:rPr>
                <w:rFonts w:ascii="仿宋_GB2312" w:eastAsia="仿宋_GB2312" w:hAnsi="宋体" w:cs="宋体" w:hint="eastAsia"/>
                <w:color w:val="000000"/>
                <w:kern w:val="0"/>
                <w:sz w:val="32"/>
                <w:szCs w:val="32"/>
              </w:rPr>
              <w:t>标志的课程）系必须参加国家开放大学基于网络考核的课程，国家开放大学不再提供这些课程相应的纸介形成性考核或纸介终结性考试。其他21门课程由各分校自行择定。分校根据本校开课情况从中自行选择5-10门课程参加国家开</w:t>
            </w:r>
            <w:r w:rsidRPr="00605E90">
              <w:rPr>
                <w:rFonts w:ascii="仿宋_GB2312" w:eastAsia="仿宋_GB2312" w:hAnsi="宋体" w:cs="宋体" w:hint="eastAsia"/>
                <w:color w:val="000000"/>
                <w:kern w:val="0"/>
                <w:sz w:val="32"/>
                <w:szCs w:val="32"/>
              </w:rPr>
              <w:lastRenderedPageBreak/>
              <w:t>放大学基于网络的考核。</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黑体" w:eastAsia="黑体" w:hAnsi="黑体" w:cs="宋体" w:hint="eastAsia"/>
                <w:color w:val="000000"/>
                <w:kern w:val="0"/>
                <w:sz w:val="32"/>
                <w:szCs w:val="32"/>
              </w:rPr>
              <w:t>二、形成性考核安排</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1.本学期组织的国家开放大学67门网络考核课程中实施网络形考课程共65门(个人与团队管理、资源与运营管理组织纸质形考)。这65门课程中有6门课程形考比例为100%，不再组织终考。其他课程的形考比例分别为30%、40%、50%、60%、70%。这其中，形考比例在40%以上的的网考课程需双及格（具体详见附件）。课程形成性考核任务、时间安排按照相应课程考核方案执行。</w:t>
            </w:r>
            <w:r w:rsidRPr="00605E90">
              <w:rPr>
                <w:rFonts w:ascii="黑体" w:eastAsia="黑体" w:hAnsi="宋体" w:cs="宋体" w:hint="eastAsia"/>
                <w:color w:val="000000"/>
                <w:kern w:val="0"/>
                <w:sz w:val="32"/>
                <w:szCs w:val="32"/>
              </w:rPr>
              <w:t xml:space="preserve"> </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2.网上形成性考核通过登录“国家开放大学(中央广播电视大学)网络考试平台”（</w:t>
            </w:r>
            <w:hyperlink r:id="rId7" w:history="1">
              <w:r w:rsidRPr="00605E90">
                <w:rPr>
                  <w:rFonts w:ascii="仿宋_GB2312" w:eastAsia="仿宋_GB2312" w:hAnsi="宋体" w:cs="宋体" w:hint="eastAsia"/>
                  <w:kern w:val="0"/>
                  <w:sz w:val="32"/>
                </w:rPr>
                <w:t>www.etas.com.cn</w:t>
              </w:r>
            </w:hyperlink>
            <w:r w:rsidRPr="00605E90">
              <w:rPr>
                <w:rFonts w:ascii="仿宋_GB2312" w:eastAsia="仿宋_GB2312" w:hAnsi="宋体" w:cs="宋体" w:hint="eastAsia"/>
                <w:color w:val="000000"/>
                <w:kern w:val="0"/>
                <w:sz w:val="32"/>
                <w:szCs w:val="32"/>
              </w:rPr>
              <w:t>，以下简称“考试平台”）进入“国家开放大学(中央广播电视大学)形成性测评系统”（以下简称“形考系统”）进行。</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3.各门课程的具体考核方案以及考核组织的通知，详见国家开放大学形考系统平台网站“公告”栏目的公告信息。</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4.学生根据完成形考任务的时间规定，及时登录“形考系统”完成作业。</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5.教学点评阅教师根据形考任务的时间规定，登录“形考系统”，进行形成性考核任务评价并评定成绩。</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黑体" w:eastAsia="黑体" w:hAnsi="黑体" w:cs="宋体" w:hint="eastAsia"/>
                <w:color w:val="000000"/>
                <w:kern w:val="0"/>
                <w:sz w:val="32"/>
                <w:szCs w:val="32"/>
              </w:rPr>
              <w:t>三、终结性考试安排</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本学期组织的国家开放大学67门网络考核课程中，除6门100%网络形考课程外，其余61门课程均该组织终结性考</w:t>
            </w:r>
            <w:r w:rsidRPr="00605E90">
              <w:rPr>
                <w:rFonts w:ascii="仿宋_GB2312" w:eastAsia="仿宋_GB2312" w:hAnsi="宋体" w:cs="宋体" w:hint="eastAsia"/>
                <w:color w:val="000000"/>
                <w:kern w:val="0"/>
                <w:sz w:val="32"/>
                <w:szCs w:val="32"/>
              </w:rPr>
              <w:lastRenderedPageBreak/>
              <w:t>试，其中28门采用网络终考方式，33门采用纸介终考方式。</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（一）网络终考</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28门网络终结性课程，学生在各自考点的考试机房登录终考系统（考点自行安装）参加考试。</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1.报考。参加网考的学生须在网上终考系统中报考，还须在教务管理系统中报考。形成性考核成绩不及格的学生不能参加本次终结性考试。同一学期每位学生每门课程的正考和补考（符合补考条件者）只能分别报考1次。各网考单位须在2014年12月30日之前完成评阅工作，同时确认学生是否具有参加终考资格，以便进行终结性考试的报考工作。</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2.考试时间。考试日期为2015年1月1日至19日，每天考试时段为8:30-20:30，具体考试时间和考试单元由各网考单位根据考生人数和考试机数量等实际情况自行确定。国家开放大学于2015年3月1日至2日为本学期参加网考的学生提供1次网上终结性考试补考（素描（1）、素描（2）课程除外），请各网考单位认真组织相关学生参加。</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3.终考试题下发及主观题评阅。国家开放大学于终考前两周下发试题，省校组织教师评阅终考主观题。</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4.成绩处理。省校将终考成绩导入教务管理系统。</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5.模拟练习。国家开放大学将于2014年12月18日至22日安排网上终考模拟练习，各课程模拟练习时长30分钟。请各网考单位认真做好考试模拟练习工作。</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lastRenderedPageBreak/>
              <w:t>（二）纸介终考</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共33门纸介终考课程，具体考试安排见省校本学期开放教育期末考试安排的通知。</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黑体" w:eastAsia="黑体" w:hAnsi="宋体" w:cs="宋体" w:hint="eastAsia"/>
                <w:color w:val="000000"/>
                <w:kern w:val="0"/>
                <w:sz w:val="32"/>
                <w:szCs w:val="32"/>
              </w:rPr>
              <w:t>四、考试组织工作要求</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1.未被批准为电大全国统一考试考点的教学点不能成为网络终结性考试考点，其考生需要到分校本部或者邻近的具有举行终结性考试资格的考点参加考试。</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2.参加网考的学生，只能参加相应形式的终考，具体安排见附件。</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3.本通知中的课程全部为国家开放大学考试课程，请勿与省开课程混淆。</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黑体" w:eastAsia="黑体" w:hAnsi="宋体" w:cs="宋体" w:hint="eastAsia"/>
                <w:color w:val="000000"/>
                <w:kern w:val="0"/>
                <w:sz w:val="32"/>
                <w:szCs w:val="32"/>
              </w:rPr>
              <w:t>五、其他事项</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相关事项，请咨询：省校电大教务处考试科。</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联系人：周跑</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电  话：（0731）82821032</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E—mail：</w:t>
            </w:r>
            <w:hyperlink r:id="rId8" w:history="1">
              <w:r w:rsidRPr="00605E90">
                <w:rPr>
                  <w:rFonts w:ascii="仿宋_GB2312" w:eastAsia="仿宋_GB2312" w:hAnsi="宋体" w:cs="宋体" w:hint="eastAsia"/>
                  <w:kern w:val="0"/>
                  <w:sz w:val="32"/>
                </w:rPr>
                <w:t>39368739@qq.com</w:t>
              </w:r>
            </w:hyperlink>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电大在线远程教育技术有限公司</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电  话：400-810-3299（免长途费）</w:t>
            </w:r>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服务邮箱：</w:t>
            </w:r>
            <w:hyperlink r:id="rId9" w:history="1">
              <w:r w:rsidRPr="00605E90">
                <w:rPr>
                  <w:rFonts w:ascii="仿宋_GB2312" w:eastAsia="仿宋_GB2312" w:hAnsi="宋体" w:cs="宋体" w:hint="eastAsia"/>
                  <w:kern w:val="0"/>
                  <w:sz w:val="32"/>
                </w:rPr>
                <w:t>xingkao@crtvu.edu.cn</w:t>
              </w:r>
            </w:hyperlink>
          </w:p>
          <w:p w:rsidR="00605E90" w:rsidRPr="00605E90" w:rsidRDefault="00605E90" w:rsidP="00605E90">
            <w:pPr>
              <w:widowControl/>
              <w:tabs>
                <w:tab w:val="left" w:pos="2828"/>
              </w:tabs>
              <w:spacing w:line="360" w:lineRule="auto"/>
              <w:ind w:firstLineChars="200" w:firstLine="640"/>
              <w:jc w:val="left"/>
              <w:rPr>
                <w:rFonts w:ascii="仿宋_GB2312" w:eastAsia="仿宋_GB2312" w:hAnsi="宋体" w:cs="宋体" w:hint="eastAsia"/>
                <w:color w:val="000000"/>
                <w:kern w:val="0"/>
                <w:sz w:val="32"/>
                <w:szCs w:val="32"/>
              </w:rPr>
            </w:pPr>
          </w:p>
          <w:p w:rsidR="00605E90" w:rsidRPr="00605E90" w:rsidRDefault="00605E90" w:rsidP="00605E90">
            <w:pPr>
              <w:widowControl/>
              <w:tabs>
                <w:tab w:val="left" w:pos="2828"/>
              </w:tabs>
              <w:spacing w:line="360" w:lineRule="auto"/>
              <w:ind w:firstLineChars="200" w:firstLine="608"/>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spacing w:val="-8"/>
                <w:kern w:val="0"/>
                <w:sz w:val="32"/>
                <w:szCs w:val="32"/>
              </w:rPr>
              <w:t>附件：2014年下学期参加国家开放大学基于网络考核课程一览表</w:t>
            </w:r>
          </w:p>
          <w:p w:rsidR="00605E90" w:rsidRPr="00605E90" w:rsidRDefault="00605E90" w:rsidP="00605E90">
            <w:pPr>
              <w:widowControl/>
              <w:spacing w:line="360" w:lineRule="auto"/>
              <w:jc w:val="left"/>
              <w:rPr>
                <w:rFonts w:ascii="仿宋_GB2312" w:eastAsia="仿宋_GB2312" w:hAnsi="宋体" w:cs="宋体" w:hint="eastAsia"/>
                <w:color w:val="000000"/>
                <w:kern w:val="0"/>
                <w:sz w:val="32"/>
                <w:szCs w:val="32"/>
              </w:rPr>
            </w:pPr>
          </w:p>
          <w:p w:rsidR="00605E90" w:rsidRPr="00605E90" w:rsidRDefault="00605E90" w:rsidP="00605E90">
            <w:pPr>
              <w:widowControl/>
              <w:spacing w:line="360" w:lineRule="auto"/>
              <w:jc w:val="left"/>
              <w:rPr>
                <w:rFonts w:ascii="仿宋_GB2312" w:eastAsia="仿宋_GB2312" w:hAnsi="宋体" w:cs="宋体" w:hint="eastAsia"/>
                <w:color w:val="000000"/>
                <w:kern w:val="0"/>
                <w:sz w:val="32"/>
                <w:szCs w:val="32"/>
              </w:rPr>
            </w:pPr>
            <w:r w:rsidRPr="00605E90">
              <w:rPr>
                <w:rFonts w:ascii="仿宋_GB2312" w:eastAsia="仿宋_GB2312" w:hAnsi="宋体" w:cs="宋体" w:hint="eastAsia"/>
                <w:color w:val="000000"/>
                <w:kern w:val="0"/>
                <w:sz w:val="32"/>
                <w:szCs w:val="32"/>
              </w:rPr>
              <w:t xml:space="preserve">                              湖南广播电视大学</w:t>
            </w:r>
          </w:p>
          <w:p w:rsidR="00605E90" w:rsidRPr="00605E90" w:rsidRDefault="00605E90" w:rsidP="00605E90">
            <w:pPr>
              <w:widowControl/>
              <w:spacing w:line="360" w:lineRule="auto"/>
              <w:jc w:val="left"/>
              <w:rPr>
                <w:rFonts w:ascii="仿宋_GB2312" w:eastAsia="仿宋_GB2312" w:hAnsi="宋体" w:cs="宋体"/>
                <w:color w:val="000000"/>
                <w:kern w:val="0"/>
                <w:sz w:val="32"/>
                <w:szCs w:val="32"/>
              </w:rPr>
            </w:pPr>
            <w:r w:rsidRPr="00605E90">
              <w:rPr>
                <w:rFonts w:ascii="仿宋_GB2312" w:eastAsia="仿宋_GB2312" w:hAnsi="宋体" w:cs="宋体" w:hint="eastAsia"/>
                <w:color w:val="000000"/>
                <w:kern w:val="0"/>
                <w:sz w:val="32"/>
                <w:szCs w:val="32"/>
              </w:rPr>
              <w:t xml:space="preserve">                                 2014年9月19日</w:t>
            </w:r>
          </w:p>
        </w:tc>
      </w:tr>
    </w:tbl>
    <w:p w:rsidR="007F2A86" w:rsidRDefault="007F2A86"/>
    <w:sectPr w:rsidR="007F2A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A86" w:rsidRDefault="007F2A86" w:rsidP="00605E90">
      <w:r>
        <w:separator/>
      </w:r>
    </w:p>
  </w:endnote>
  <w:endnote w:type="continuationSeparator" w:id="1">
    <w:p w:rsidR="007F2A86" w:rsidRDefault="007F2A86" w:rsidP="00605E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书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A86" w:rsidRDefault="007F2A86" w:rsidP="00605E90">
      <w:r>
        <w:separator/>
      </w:r>
    </w:p>
  </w:footnote>
  <w:footnote w:type="continuationSeparator" w:id="1">
    <w:p w:rsidR="007F2A86" w:rsidRDefault="007F2A86" w:rsidP="00605E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5E90"/>
    <w:rsid w:val="00605E90"/>
    <w:rsid w:val="007F2A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5E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5E90"/>
    <w:rPr>
      <w:sz w:val="18"/>
      <w:szCs w:val="18"/>
    </w:rPr>
  </w:style>
  <w:style w:type="paragraph" w:styleId="a4">
    <w:name w:val="footer"/>
    <w:basedOn w:val="a"/>
    <w:link w:val="Char0"/>
    <w:uiPriority w:val="99"/>
    <w:semiHidden/>
    <w:unhideWhenUsed/>
    <w:rsid w:val="00605E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5E90"/>
    <w:rPr>
      <w:sz w:val="18"/>
      <w:szCs w:val="18"/>
    </w:rPr>
  </w:style>
  <w:style w:type="character" w:styleId="a5">
    <w:name w:val="Hyperlink"/>
    <w:basedOn w:val="a0"/>
    <w:uiPriority w:val="99"/>
    <w:semiHidden/>
    <w:unhideWhenUsed/>
    <w:rsid w:val="00605E90"/>
    <w:rPr>
      <w:strike w:val="0"/>
      <w:dstrike w:val="0"/>
      <w:color w:val="000000"/>
      <w:u w:val="none"/>
      <w:effect w:val="none"/>
    </w:rPr>
  </w:style>
  <w:style w:type="paragraph" w:styleId="a6">
    <w:name w:val="Balloon Text"/>
    <w:basedOn w:val="a"/>
    <w:link w:val="Char1"/>
    <w:uiPriority w:val="99"/>
    <w:semiHidden/>
    <w:unhideWhenUsed/>
    <w:rsid w:val="00605E90"/>
    <w:rPr>
      <w:sz w:val="18"/>
      <w:szCs w:val="18"/>
    </w:rPr>
  </w:style>
  <w:style w:type="character" w:customStyle="1" w:styleId="Char1">
    <w:name w:val="批注框文本 Char"/>
    <w:basedOn w:val="a0"/>
    <w:link w:val="a6"/>
    <w:uiPriority w:val="99"/>
    <w:semiHidden/>
    <w:rsid w:val="00605E90"/>
    <w:rPr>
      <w:sz w:val="18"/>
      <w:szCs w:val="18"/>
    </w:rPr>
  </w:style>
</w:styles>
</file>

<file path=word/webSettings.xml><?xml version="1.0" encoding="utf-8"?>
<w:webSettings xmlns:r="http://schemas.openxmlformats.org/officeDocument/2006/relationships" xmlns:w="http://schemas.openxmlformats.org/wordprocessingml/2006/main">
  <w:divs>
    <w:div w:id="971637613">
      <w:bodyDiv w:val="1"/>
      <w:marLeft w:val="0"/>
      <w:marRight w:val="0"/>
      <w:marTop w:val="0"/>
      <w:marBottom w:val="0"/>
      <w:divBdr>
        <w:top w:val="none" w:sz="0" w:space="0" w:color="auto"/>
        <w:left w:val="none" w:sz="0" w:space="0" w:color="auto"/>
        <w:bottom w:val="none" w:sz="0" w:space="0" w:color="auto"/>
        <w:right w:val="none" w:sz="0" w:space="0" w:color="auto"/>
      </w:divBdr>
      <w:divsChild>
        <w:div w:id="763301860">
          <w:marLeft w:val="0"/>
          <w:marRight w:val="0"/>
          <w:marTop w:val="0"/>
          <w:marBottom w:val="0"/>
          <w:divBdr>
            <w:top w:val="none" w:sz="0" w:space="0" w:color="auto"/>
            <w:left w:val="none" w:sz="0" w:space="0" w:color="auto"/>
            <w:bottom w:val="none" w:sz="0" w:space="0" w:color="auto"/>
            <w:right w:val="none" w:sz="0" w:space="0" w:color="auto"/>
          </w:divBdr>
          <w:divsChild>
            <w:div w:id="154891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9368739@qq.com" TargetMode="External"/><Relationship Id="rId3" Type="http://schemas.openxmlformats.org/officeDocument/2006/relationships/webSettings" Target="webSettings.xml"/><Relationship Id="rId7" Type="http://schemas.openxmlformats.org/officeDocument/2006/relationships/hyperlink" Target="http://www.etas.com.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xingkao@crtv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1723</Characters>
  <Application>Microsoft Office Word</Application>
  <DocSecurity>0</DocSecurity>
  <Lines>14</Lines>
  <Paragraphs>4</Paragraphs>
  <ScaleCrop>false</ScaleCrop>
  <Company>WorkGroup</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2014-09-24T01:36:00Z</dcterms:created>
  <dcterms:modified xsi:type="dcterms:W3CDTF">2014-09-24T01:36:00Z</dcterms:modified>
</cp:coreProperties>
</file>