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益阳开放大学办学评估指标分解表</w:t>
      </w:r>
    </w:p>
    <w:tbl>
      <w:tblPr>
        <w:tblStyle w:val="5"/>
        <w:tblW w:w="1486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6"/>
        <w:gridCol w:w="783"/>
        <w:gridCol w:w="1512"/>
        <w:gridCol w:w="851"/>
        <w:gridCol w:w="783"/>
        <w:gridCol w:w="1890"/>
        <w:gridCol w:w="945"/>
        <w:gridCol w:w="641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一级指标</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二级指标</w:t>
            </w:r>
          </w:p>
        </w:tc>
        <w:tc>
          <w:tcPr>
            <w:tcW w:w="314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三级指标</w:t>
            </w:r>
          </w:p>
        </w:tc>
        <w:tc>
          <w:tcPr>
            <w:tcW w:w="283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观测点</w:t>
            </w:r>
          </w:p>
        </w:tc>
        <w:tc>
          <w:tcPr>
            <w:tcW w:w="641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建议支撑材料目录</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指标内容分解</w:t>
            </w:r>
          </w:p>
        </w:tc>
        <w:tc>
          <w:tcPr>
            <w:tcW w:w="85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责任校领导</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牵头部门</w:t>
            </w:r>
          </w:p>
        </w:tc>
        <w:tc>
          <w:tcPr>
            <w:tcW w:w="18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观测点</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内容分解</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责任</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部门</w:t>
            </w:r>
          </w:p>
        </w:tc>
        <w:tc>
          <w:tcPr>
            <w:tcW w:w="6412" w:type="dxa"/>
            <w:vMerge w:val="continue"/>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972" w:type="dxa"/>
            <w:vMerge w:val="continue"/>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1.办学定位（40分）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1.办学定位（40分）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全面加强党的领导（15分）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 全面加强党的领导，坚持社会主义办学方向，落实立德树人根本任务，培养德智体美劳全面发展的社会主义建设者和接班人（15分）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曹  萍</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（1)学校发展定位及发展规划体现社会主义办学方向（4分）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（2）立德树人培育体系和落实机制（4分）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numPr>
                <w:ilvl w:val="0"/>
                <w:numId w:val="1"/>
              </w:numPr>
              <w:suppressLineNumbers w:val="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学校“十四五”规划</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1"/>
              </w:numPr>
              <w:suppressLineNumbers w:val="0"/>
              <w:ind w:left="0" w:leftChars="0" w:firstLine="0" w:firstLine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五个校园建设方案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 近3年校长在学校教职工大会上的工作报告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 关于落实全面从严治党主体责任的文件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5. 年度党政工作要点</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 党委中心组学习安排汇总表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 近3年党委书记在党的建设工作会议上的讲话</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 “两学一做”学习教育有关材料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512" w:type="dxa"/>
            <w:vMerge w:val="continue"/>
            <w:shd w:val="clear" w:color="auto" w:fill="auto"/>
            <w:vAlign w:val="center"/>
          </w:tcPr>
          <w:p>
            <w:pPr>
              <w:keepNext w:val="0"/>
              <w:keepLines w:val="0"/>
              <w:widowControl/>
              <w:suppressLineNumbers w:val="0"/>
              <w:jc w:val="left"/>
              <w:textAlignment w:val="center"/>
            </w:pPr>
          </w:p>
        </w:tc>
        <w:tc>
          <w:tcPr>
            <w:tcW w:w="851"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890" w:type="dxa"/>
            <w:vMerge w:val="continue"/>
            <w:shd w:val="clear" w:color="auto" w:fill="auto"/>
            <w:vAlign w:val="center"/>
          </w:tcPr>
          <w:p>
            <w:pPr>
              <w:keepNext w:val="0"/>
              <w:keepLines w:val="0"/>
              <w:widowControl/>
              <w:suppressLineNumbers w:val="0"/>
              <w:jc w:val="left"/>
              <w:textAlignment w:val="center"/>
            </w:pPr>
          </w:p>
        </w:tc>
        <w:tc>
          <w:tcPr>
            <w:tcW w:w="945" w:type="dxa"/>
            <w:vMerge w:val="continue"/>
            <w:shd w:val="clear" w:color="auto" w:fill="auto"/>
            <w:vAlign w:val="center"/>
          </w:tcPr>
          <w:p>
            <w:pPr>
              <w:keepNext w:val="0"/>
              <w:keepLines w:val="0"/>
              <w:widowControl/>
              <w:suppressLineNumbers w:val="0"/>
              <w:jc w:val="left"/>
              <w:textAlignment w:val="cente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 “不忘初心、牢记使命”主题教育有关材料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 党史学习教育活动有关材料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强化思想政治教育（15分）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 强化思想政治和新时代爱国主义教育，落实意识形态工作责任制，建立健全思想政治工作体系，形成“三全育人”工作格局（15分）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谭罗平</w:t>
            </w:r>
            <w:r>
              <w:rPr>
                <w:rFonts w:hint="eastAsia" w:ascii="宋体" w:hAnsi="宋体" w:eastAsia="宋体" w:cs="宋体"/>
                <w:i w:val="0"/>
                <w:iCs w:val="0"/>
                <w:color w:val="000000"/>
                <w:kern w:val="0"/>
                <w:sz w:val="20"/>
                <w:szCs w:val="20"/>
                <w:highlight w:val="none"/>
                <w:u w:val="none"/>
                <w:lang w:val="en-US" w:eastAsia="zh-CN" w:bidi="ar"/>
              </w:rPr>
              <w:t>陈献忠刘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  新</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监察室、</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学习支持服务中心</w:t>
            </w:r>
          </w:p>
        </w:tc>
        <w:tc>
          <w:tcPr>
            <w:tcW w:w="1890" w:type="dxa"/>
            <w:vMerge w:val="restart"/>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(3)思想政治和新时代爱国主义教育工作及其落实情况（重点看过程材料和实施效果）（6分）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（4）意识形态工作责任制及其落实情况（5分）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（5）“三全育人”工作体系文件资料、过程材料、工作效果（4分）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办公室、监察室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益阳开放大学意识形态工作责任制实施细则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益阳开放大学网络意识形态工作责任制实施细则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益阳开放大学意识形态工作责任清单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益阳开放大学加强和改进新形势下思想政治工作的实施办法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宣传思想文化阵地建设管理规定</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“三全育人”工作实施方案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近3年学校党员干部开展谈心谈话的实施方案及工作材料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关于开展党史、新中国史、改革开放史、社会主义发展史学习教育的实施方案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加强新时代师德师风建设的意见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加强和改进青年教师思想政治工作的实施意见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加强和改进新形势下学校思想政治工作任务分解表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关于加强新时代师德师风建设的相关材料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关于成立益阳开放大学思想政治工作领导小组的通知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加快构建学校思想政治工作体系意见落实台账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 关于深化新时代思想政治理论课改革创新工作的实施意见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 学生心理健康教育与指导工作的材料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 网上教学活动规范</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 校园网络信息工作管理制度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 微博、微信公众平台管理办法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 师生网络文明倡议书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 舆情监管制度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716"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512" w:type="dxa"/>
            <w:vMerge w:val="continue"/>
            <w:shd w:val="clear" w:color="auto" w:fill="auto"/>
            <w:vAlign w:val="center"/>
          </w:tcPr>
          <w:p>
            <w:pPr>
              <w:keepNext w:val="0"/>
              <w:keepLines w:val="0"/>
              <w:widowControl/>
              <w:suppressLineNumbers w:val="0"/>
              <w:jc w:val="left"/>
              <w:textAlignment w:val="center"/>
            </w:pPr>
          </w:p>
        </w:tc>
        <w:tc>
          <w:tcPr>
            <w:tcW w:w="851"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widowControl/>
              <w:suppressLineNumbers w:val="0"/>
              <w:jc w:val="left"/>
              <w:textAlignment w:val="center"/>
            </w:pPr>
          </w:p>
        </w:tc>
        <w:tc>
          <w:tcPr>
            <w:tcW w:w="1890" w:type="dxa"/>
            <w:vMerge w:val="continue"/>
            <w:shd w:val="clear" w:color="auto" w:fill="auto"/>
            <w:vAlign w:val="center"/>
          </w:tcPr>
          <w:p>
            <w:pPr>
              <w:keepNext w:val="0"/>
              <w:keepLines w:val="0"/>
              <w:widowControl/>
              <w:suppressLineNumbers w:val="0"/>
              <w:jc w:val="left"/>
              <w:textAlignment w:val="center"/>
            </w:pPr>
          </w:p>
        </w:tc>
        <w:tc>
          <w:tcPr>
            <w:tcW w:w="945" w:type="dxa"/>
            <w:vMerge w:val="continue"/>
            <w:shd w:val="clear" w:color="auto" w:fill="auto"/>
            <w:vAlign w:val="center"/>
          </w:tcPr>
          <w:p>
            <w:pPr>
              <w:keepNext w:val="0"/>
              <w:keepLines w:val="0"/>
              <w:widowControl/>
              <w:suppressLineNumbers w:val="0"/>
              <w:jc w:val="left"/>
              <w:textAlignment w:val="cente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 抗击新冠肺炎疫情典型事迹相关材料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行政后勤处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 电子显示屏使用管理规定</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 安全生产工作材料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重视大学文化建设（10分）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 按照“统一品牌”要求，宣传学校文化，践行国家开放大学的质量观，运用国家开放大学的标识、校训、校歌营造校园氛围，落实好国开开展的各项文化活动；有省校校园文化建设（10分）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陈献忠</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  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办公室、行政后勤处、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(6)环境文化是否充分使用开放大学标识、校训，校园文化氛围（3分）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(7)学校干部、教师、学生对开放大学的基本文化了解程度（2分）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（8）国开统一组织的各类文化活动落实情况（2分）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（9）全市电大系统校园文化建设（3分）</w:t>
            </w:r>
          </w:p>
        </w:tc>
        <w:tc>
          <w:tcPr>
            <w:tcW w:w="94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行政后勤处、</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监察室</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校园文化建设工作方案及总结</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创建市级文明校园相关材料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 学校的文化建设亮点（五个校园）</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落实国家开放大学关于提高教育教学质量的实施方案及管理办法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“互联网+”大学生创新创业大赛相关材料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开展“教育部‘一村一名大学生计划’”学生优秀创新创业的相关材料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开展优秀毕业生评选活动的相关材料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奖学金评选工作的相关材料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行政后勤处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开放大学标识、校训使用情况材料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落实益阳开放大学新冠肺炎疫情防控工作相关材料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trPr>
        <w:tc>
          <w:tcPr>
            <w:tcW w:w="716" w:type="dxa"/>
            <w:vMerge w:val="continue"/>
            <w:shd w:val="clear" w:color="auto" w:fill="auto"/>
            <w:vAlign w:val="center"/>
          </w:tcPr>
          <w:p>
            <w:pPr>
              <w:keepNext w:val="0"/>
              <w:keepLines w:val="0"/>
              <w:widowControl/>
              <w:suppressLineNumbers w:val="0"/>
              <w:jc w:val="left"/>
              <w:textAlignment w:val="center"/>
            </w:pPr>
          </w:p>
        </w:tc>
        <w:tc>
          <w:tcPr>
            <w:tcW w:w="78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151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85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78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18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9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p>
        </w:tc>
        <w:tc>
          <w:tcPr>
            <w:tcW w:w="6412" w:type="dxa"/>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平安校园建设相关材料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2.体系办学（120分）</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 国开教学相关工作落实情况（20分）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 及时传达、部署、完成国开教学相关文件要求（10分）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有对国开文件的转发、部署、落实等工作机制和记录（5分）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（11）落实国开教学相关文件的及时准确程度（5分）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落实国开/省校教学相关文件的相关材料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及时传达、部署、完成国开/省校教学相关文件要求的典型案例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系统传达、部署国开/省校教学工作沟通渠道的有关材料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 全面参与国开开展的相关教学工作（10分）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（12）参与国开开展的相关教学工作的情况（10分）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对于国开/省校相关教学工作文件的落实所制定的制度及管理办法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参与国开/省校相关教学工作的方案、通知、会议、培训和竞赛的相关材料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开展国开/省校相关教学工作的数据分析、工作总结和竞赛结果通报的相关材料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 统筹全省开大的系统办学及体系建设（70分）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2.2.1 全省开大系统各办学单位的办学职责明晰，各级合作办学协议合法有效</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pacing w:val="-6"/>
                <w:kern w:val="0"/>
                <w:sz w:val="20"/>
                <w:szCs w:val="20"/>
                <w:highlight w:val="none"/>
                <w:u w:val="none"/>
                <w:lang w:val="en-US" w:eastAsia="zh-CN" w:bidi="ar"/>
              </w:rPr>
              <w:t>（13）全市开大系统及各办学单位对办学定位及职责的明确程度，体系责任分工的明晰程度（6分）（14）各级合作办学协议完备、合法，条款清晰，职责明确（4分）</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益阳开放大学系统办学定位及岗位职责汇编和相关材料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各级合作办学协议材料、办学协议书、责任书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 全省开大系统办学单位布局、人员配备及职责分工与办学的规模、结构、质量要求相适应（25分）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1890" w:type="dxa"/>
            <w:vMerge w:val="restart"/>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全市开大系统办学单位布局、工作职责分配的科学合理程度及落实情况（14分）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全市开大系统与办学质量要求相适应的人员配备情况和责任落实情况（7分）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（17）办学的规模、结构、质量相适应的情况（4分）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益阳开放大学系统的人员配备管理办法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益阳开放大学系统的人员配备责任分配表（包括组织机构、人员配置、岗位职责等）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学校办学规模，机构设置及办学质量的落实（包括管理办法、奖惩措施、整改反馈、处理结果等）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综合办学报告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年度办学质量报告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各县级教学点办学点规模结构质量报告及相关材料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 在国开允许的区域范围内规范办学(15分)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招生与系统建设处、教务处、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（18）全市开大系统各办学单位办学与国开允许的区域范围相符的情况（7分）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（19）全市开大系统各办学单位的办学行为规范程度（8分）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招生与系统建设处、教务处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益阳电大系统各办学单位一览表（包括协议书、考点、教学点、招生申报材料及审批材料）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撤销或停招、停考的相关处理文件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 育学院、教务处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每学年综合教学检查工作方案、反馈意见及整改意见的相关材料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各项办学行为制度及奖惩措施的相关材料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招生办、教务处、开放教育学院</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各项办学行为通报，整改效果的相关材料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 及时缴费、规范收费（30分）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 按照协议及时足额缴纳各项费用，无拖欠学费（20分）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（20）无欠费，按照协议及时足额缴纳各项费用（20分）；有欠费，有清偿计划，近三年向上级缴纳、还款情况较好（10-19分）；有欠费，无清偿计划或近三年缴费、还款不到位（0-9分）</w:t>
            </w:r>
          </w:p>
        </w:tc>
        <w:tc>
          <w:tcPr>
            <w:tcW w:w="9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如有欠费，提供欠费清偿计划</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益阳开放大学系统开放教育收费规定与标准及管理办法的相关材料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 严格执行国家有关部门的收费规定和标准，无违规收费（10分）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（21）严格执行国家及地方有关部门的收费规定和标准（10分）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国家开放大学开放教育收费规定及管理办法的相关材料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湖南开放大学开放教育收费规定及管理办法的相关材料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益阳物价部门对收费规定及管理办法的相关材料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3.条件保障（290分）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3.1岗位、人员与运行（25分）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 分校的教学教务部门业务相对独立，其他工作有专职专岗人员负责；县级电大的招生、教务管理、学生管理、考试等工作有明确人员分工负责（10分）</w:t>
            </w:r>
          </w:p>
        </w:tc>
        <w:tc>
          <w:tcPr>
            <w:tcW w:w="8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办公室、招生与系统建设处、开放教育学院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(22)分校的教学教务部门业务相对独立，其他工作有专职专岗人员负责（5分）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（23）分校的招生、教务管理、学生管理、考试等工作有明确人员分工负责（5分）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学校岗位设置方案、岗位管理制度和办法</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学校教学教务及其他专职专岗组织机构的岗位人员设定情况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县级电大教学教务、招生考试、学生管理、人员分工及职责要求</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市校、县级电大其他专职专岗设定统计表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 师资等人员配备（50分）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3.2.1生师比合理（30分）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（24）以在编在岗教师计算，生师比&lt;=50:1（30分）；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以在编在岗教师计算，50:1&lt;生师比&lt;=100:1（24-29分）；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以专兼职教师计算，生师比&gt;100:1(0-10分)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办公室、</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近3年每学年专职教师一览表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近3年每学年兼职教师一览表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4"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近3年每学年各专业学生人数统计表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 专兼职教师队伍的学历、职称、年龄结构合理（20分）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（25）研究生以上学历50%以上、高级职称30%以上、中青年教师60%以上（20分）;单项达不到上述标准的酌情减分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专兼职教师队伍结构统计表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专兼职教师资格证明（包括学历证、职称证、身份证复印件及专业等汇总材料）、聘任材料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 开放教育教学经费投入（45分）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 教学投入占学费收入的比例高（25分）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（26）评估近三年情况及趋势，按“总决算-投入企业-还款-基建≈教学投入”计算。70%及以上（21-25分）；55%-69%（11-20分）；40%-54%（1-10分）；不足40%（0分）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近三年开放教育教学投入情况统计表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计算公式：总决算-投入企业-还款-基建≈教学投入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教学投入的相关合同、方案等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年度财务工作分析报告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 专业建设、资源建设、信息化软硬件建设、师资培训和实践教学投入的比例高（20分）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（27）评估近三年情况及趋势，计算口径同上。60%及以上（16-20分）；40%-59%（6-15分）；20%-39%（1-5分）；不足20%（0分）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专业建设每学年投入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资源建设投入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信息化软硬件建设投入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师资培训投入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实践教学投入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财务相应投入支出凭证列表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列出汇总表，计算出占同期教学投入的比例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近三年教学投入的汇总表、分析数据及支撑材料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 办学设施及信息化办学条件（50分）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3.4.1 配备与办学规模相适应、基本满足开放大学办学的教室（包括实时联网可远程双向交互的教室、可用于日常教学与考试的教室与计算机教室等）、保密室、档案室、办公场所、录播室等</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  新</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计划财务处、行政后勤处、学习支持服务中心</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配备与办学规模相适应、基本满足开放大学办学的教室（包括实时联网可远程双向交互的教室、可用于日常教学与考试的教室与计算机教室等）、保密室、档案室、办公场所、录播室等的情况，自有办学场所不应低于60%（20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行政后勤处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各类场所名称及数量列表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各类场所分布图及实景照片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行政后勤处、学习支持服务中心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信息设备购置清单、设备数量和价格列表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3.4.2 办学环境中的信息化设备充足、适用，使用率高（15分）</w:t>
            </w:r>
          </w:p>
        </w:tc>
        <w:tc>
          <w:tcPr>
            <w:tcW w:w="851" w:type="dxa"/>
            <w:vMerge w:val="restart"/>
            <w:shd w:val="clear" w:color="auto" w:fill="auto"/>
            <w:vAlign w:val="center"/>
          </w:tcPr>
          <w:p>
            <w:pPr>
              <w:rPr>
                <w:rFonts w:hint="default"/>
                <w:highlight w:val="none"/>
                <w:lang w:val="en-US"/>
              </w:rPr>
            </w:pPr>
            <w:r>
              <w:rPr>
                <w:rFonts w:hint="eastAsia"/>
                <w:highlight w:val="none"/>
                <w:lang w:val="en-US" w:eastAsia="zh-CN"/>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eastAsia"/>
                <w:sz w:val="16"/>
                <w:szCs w:val="16"/>
                <w:highlight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20"/>
                <w:szCs w:val="20"/>
                <w:highlight w:val="none"/>
                <w:u w:val="none"/>
                <w:lang w:val="en-US" w:eastAsia="zh-CN" w:bidi="ar"/>
              </w:rPr>
              <w:t>（29）服务器数量、网络出口带宽、存储容量、校园网络、计算机等满足办学要求的情况（8分）         （30）使用率（7分）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服务器数量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网络出口带宽</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存储容量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校园网络定量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计算机数量设备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使用率（包括每学年使用情况统计表、上课课程安排表、使用安排表、体现使用率的其他相关材料）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3.4.3 教学信息化平台和工具满足招生专业教学需要（15分）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（31）包括国开课程平台、实训平台、适应云直播等教学工作的教学软件和教学管理软件等满足招生专业教学需要的情况（15分）</w:t>
            </w:r>
          </w:p>
        </w:tc>
        <w:tc>
          <w:tcPr>
            <w:tcW w:w="945" w:type="dxa"/>
            <w:vMerge w:val="restart"/>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学习支持服务中心、开放教育学院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教学平台工具列表（人数、频次、平台数量）</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国开学习网使用情况说明及使用效果分析</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实践教学网络管理平台相关资料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智慧教室相关资料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效果体现的教学服务贡献典型案例（包括双向视频会设系统截图、举办新生开学典礼、开学第一课的新闻报道等相关材料）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 制度建设（15分）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 招生、教学、学习资源建设、形成性考核、终结性考试、学籍、质量管理、学习支持服务、教学团队等方面制度文件齐全有效（8分）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办公室、招生与系统建设处、教务处、开放教育学院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（32）招生、教学、学习资源建设、形成性考核、终结性考试、学籍、质量管理、学习支持服务、教学团队等方面制度文件齐全有效的情况（8分）；有缺失的酌情减分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省校制度文件汇编</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学校近三年制定的有关规章制度一览表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教务处、开放教育学院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教学教务管理文件汇编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开放教育教学教务管理制度汇编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教学管理工作手册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招生制度文件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3.5.2 制度文件的更新、补充、完善及时（7分）</w:t>
            </w:r>
          </w:p>
        </w:tc>
        <w:tc>
          <w:tcPr>
            <w:tcW w:w="851"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189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（33）制度文件的更新、补充、完善情况（7分）</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各部门更新、补充、完善的相关制度汇编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 学科专业建设（20分）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3.6.1 有专业建设能力，有学科研究、教学研究成果（10分）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李惠芳</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开放教育学院、终身教育与科研处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（34）学科研究、教学研究成果情况（4分）</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1.校内专职教师专业一览表</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2.围绕专业与课程开展的研究项目、成果及其他科研项目成果（包括课题、论文、典型案例）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3.近3年教学、科研获奖统计一览表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4.各专业学生获奖情况汇总表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 学习资源配置（65分）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3.7.1 统设课程文字主教材配置率高（30分）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谭罗平</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（35）70%及以上（26-30分）；50%-69%（11-25分）；40%-49%（1-10分）；不足40%（0分）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学习支持服务中心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每学期教材配备率</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教材配置表及相关支撑材料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教材配置管理办法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教材管理工作相关材料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3.7.2 负责的专业选修课和牵头建设专业的必修课资源建设质量高、有特色，应用效果好（25分）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学习支持服务中心、开放教育学院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（36）按照国开规定的学习资源配置要求，资源建设质量和特色情况（15分）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学习支持服务中心、</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专业选修课与牵头建设的专业必修课一览表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专业选修课与牵头建设的专业必修课资源配置表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七个共享共建专业资源建设的效果与特色材料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教材推广运用的效果及支撑材料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 人员培训（20分）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3.8.2 定期组织开展全省开大系统各类人员培训（10分）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开放教育学院、教务处、办公室</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（37）定期组织开展全市开大系统各类人员培训的情况（10分）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开放教育学院、教务处、办公室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组织开展各类人员培训的通知、文件</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参训人员名单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培训日程安排表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培训资料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培训相关新闻报道、图片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4.教学运行与效果（340分）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 招生宣传与规范管理（40分）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4.1.1 按国开统一要求开展招生宣传，无虚假宣传、违规招生等问题（30分）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(38)招生单位的招生简章符合要求，以及违规承诺、虚假宣传的情况（25分）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(39)全市市开大系统没有学生关于招生宣传问题的信访投诉，或学生有投诉省校无过错（5分）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（40）近一年有严重违规招生问题（跨区域招生、委托中介招生等）本项不得分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招生与系统建设处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市校与各县点近3年招生简章</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市校招生管理办法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各县点招生规范管理承诺书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教学点（招生点）设置管理办法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撤销教学点的文件（或近些年教学点变化的图表展示）</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512" w:type="dxa"/>
            <w:vMerge w:val="continue"/>
            <w:shd w:val="clear" w:color="auto" w:fill="auto"/>
            <w:vAlign w:val="center"/>
          </w:tcPr>
          <w:p>
            <w:pPr>
              <w:keepNext w:val="0"/>
              <w:keepLines w:val="0"/>
              <w:widowControl/>
              <w:suppressLineNumbers w:val="0"/>
              <w:jc w:val="left"/>
              <w:textAlignment w:val="center"/>
              <w:rPr>
                <w:highlight w:val="none"/>
              </w:rPr>
            </w:pPr>
          </w:p>
        </w:tc>
        <w:tc>
          <w:tcPr>
            <w:tcW w:w="851"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890" w:type="dxa"/>
            <w:vMerge w:val="continue"/>
            <w:shd w:val="clear" w:color="auto" w:fill="auto"/>
            <w:vAlign w:val="center"/>
          </w:tcPr>
          <w:p>
            <w:pPr>
              <w:keepNext w:val="0"/>
              <w:keepLines w:val="0"/>
              <w:widowControl/>
              <w:suppressLineNumbers w:val="0"/>
              <w:jc w:val="left"/>
              <w:textAlignment w:val="center"/>
              <w:rPr>
                <w:highlight w:val="none"/>
              </w:rPr>
            </w:pPr>
          </w:p>
        </w:tc>
        <w:tc>
          <w:tcPr>
            <w:tcW w:w="945" w:type="dxa"/>
            <w:vMerge w:val="continue"/>
            <w:shd w:val="clear" w:color="auto" w:fill="auto"/>
            <w:vAlign w:val="center"/>
          </w:tcPr>
          <w:p>
            <w:pPr>
              <w:keepNext w:val="0"/>
              <w:keepLines w:val="0"/>
              <w:widowControl/>
              <w:suppressLineNumbers w:val="0"/>
              <w:jc w:val="left"/>
              <w:textAlignment w:val="center"/>
              <w:rPr>
                <w:highlight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 教学点招生情况列表</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 市校关于招生的自检报告</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 市校近3年每年招生的数据分析、工作总结（能体现异地生、跨区域招生的情况）</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 处理投诉的流程、路径（信箱、电话、公开的招生简章）及处理办法</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 近3年内的投诉以及处理结果案例材料</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4.1.2 按国开要求完成入学资格审核（10分）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1890" w:type="dxa"/>
            <w:vMerge w:val="restart"/>
            <w:shd w:val="clear" w:color="auto" w:fill="auto"/>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41</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学生提交的报名资料符合规定情况（6分）</w:t>
            </w:r>
          </w:p>
          <w:p>
            <w:pPr>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（42）入学资格审核手续齐全、及时的情况（4分）</w:t>
            </w:r>
          </w:p>
        </w:tc>
        <w:tc>
          <w:tcPr>
            <w:tcW w:w="945" w:type="dxa"/>
            <w:vMerge w:val="restart"/>
            <w:shd w:val="clear" w:color="auto" w:fill="auto"/>
            <w:vAlign w:val="center"/>
          </w:tcPr>
          <w:p>
            <w:pPr>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招生与系统建设处、开放教育学院</w:t>
            </w:r>
          </w:p>
        </w:tc>
        <w:tc>
          <w:tcPr>
            <w:tcW w:w="6412" w:type="dxa"/>
            <w:shd w:val="clear" w:color="auto" w:fill="auto"/>
            <w:vAlign w:val="center"/>
          </w:tcPr>
          <w:p>
            <w:pPr>
              <w:numPr>
                <w:ilvl w:val="0"/>
                <w:numId w:val="7"/>
              </w:numPr>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报名登记表及相关材料（身份证、前置学历复印件等）</w:t>
            </w:r>
          </w:p>
        </w:tc>
        <w:tc>
          <w:tcPr>
            <w:tcW w:w="972" w:type="dxa"/>
            <w:vMerge w:val="restart"/>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入学资格审核工作方案及每季度招生工作方案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国家开放大学入学资格审核文件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512" w:type="dxa"/>
            <w:vMerge w:val="continue"/>
            <w:shd w:val="clear" w:color="auto" w:fill="auto"/>
            <w:vAlign w:val="center"/>
          </w:tcPr>
          <w:p>
            <w:pPr>
              <w:keepNext w:val="0"/>
              <w:keepLines w:val="0"/>
              <w:widowControl/>
              <w:suppressLineNumbers w:val="0"/>
              <w:jc w:val="left"/>
              <w:textAlignment w:val="center"/>
              <w:rPr>
                <w:highlight w:val="none"/>
              </w:rPr>
            </w:pPr>
          </w:p>
        </w:tc>
        <w:tc>
          <w:tcPr>
            <w:tcW w:w="851" w:type="dxa"/>
            <w:vMerge w:val="continue"/>
            <w:shd w:val="clear" w:color="auto" w:fill="auto"/>
            <w:vAlign w:val="center"/>
          </w:tcPr>
          <w:p>
            <w:pPr>
              <w:keepNext w:val="0"/>
              <w:keepLines w:val="0"/>
              <w:widowControl/>
              <w:suppressLineNumbers w:val="0"/>
              <w:jc w:val="left"/>
              <w:textAlignment w:val="center"/>
              <w:rPr>
                <w:highlight w:val="none"/>
              </w:rPr>
            </w:pPr>
          </w:p>
        </w:tc>
        <w:tc>
          <w:tcPr>
            <w:tcW w:w="783" w:type="dxa"/>
            <w:vMerge w:val="continue"/>
            <w:shd w:val="clear" w:color="auto" w:fill="auto"/>
            <w:vAlign w:val="center"/>
          </w:tcPr>
          <w:p>
            <w:pPr>
              <w:keepNext w:val="0"/>
              <w:keepLines w:val="0"/>
              <w:widowControl/>
              <w:suppressLineNumbers w:val="0"/>
              <w:jc w:val="left"/>
              <w:textAlignment w:val="center"/>
              <w:rPr>
                <w:highlight w:val="none"/>
              </w:rPr>
            </w:pPr>
          </w:p>
        </w:tc>
        <w:tc>
          <w:tcPr>
            <w:tcW w:w="1890" w:type="dxa"/>
            <w:vMerge w:val="continue"/>
            <w:shd w:val="clear" w:color="auto" w:fill="auto"/>
            <w:vAlign w:val="center"/>
          </w:tcPr>
          <w:p>
            <w:pPr>
              <w:keepNext w:val="0"/>
              <w:keepLines w:val="0"/>
              <w:widowControl/>
              <w:suppressLineNumbers w:val="0"/>
              <w:jc w:val="left"/>
              <w:textAlignment w:val="center"/>
              <w:rPr>
                <w:highlight w:val="none"/>
              </w:rPr>
            </w:pPr>
          </w:p>
        </w:tc>
        <w:tc>
          <w:tcPr>
            <w:tcW w:w="945" w:type="dxa"/>
            <w:vMerge w:val="continue"/>
            <w:shd w:val="clear" w:color="auto" w:fill="auto"/>
            <w:vAlign w:val="center"/>
          </w:tcPr>
          <w:p>
            <w:pPr>
              <w:keepNext w:val="0"/>
              <w:keepLines w:val="0"/>
              <w:widowControl/>
              <w:suppressLineNumbers w:val="0"/>
              <w:jc w:val="left"/>
              <w:textAlignment w:val="center"/>
              <w:rPr>
                <w:highlight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入学资格审核工作的通知</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 w:hRule="atLeast"/>
        </w:trPr>
        <w:tc>
          <w:tcPr>
            <w:tcW w:w="716"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近3年入学水平测试及试卷分析报告</w:t>
            </w:r>
          </w:p>
        </w:tc>
        <w:tc>
          <w:tcPr>
            <w:tcW w:w="972"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招生工作总结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numPr>
                <w:ilvl w:val="0"/>
                <w:numId w:val="7"/>
              </w:numPr>
              <w:ind w:left="0" w:leftChars="0" w:firstLine="0" w:firstLineChars="0"/>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开展新生入学教育活动材料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 线上线下教学的组织管理与实施效果（70分）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4.2.1 全省开大系统在教学组织与运行过程中履职尽责；省校有措施督查全省开大系统各分校、二级学院开展面授、落实网上教学的情况（30分）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(43)全市开大系统在教学组织与运行过程中履职尽责情况（15分）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（44）市校有措施督查各县站、开展面授、落实网上教学的情况（15分）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相关制度：《教学过程管理办法》《教学团队管理办法》《网上教学管理办法》《实践教学管理办法》《专业教学实施方案》《专业实践教学实施方案》（毕业设计、实践环节等）《各课程教学大纲》</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市校近3年网上教学活动工作方案及相关反馈意见和通报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市校及各县点近3年面授课表（含直播、网上答疑）</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市校关于强化教学过程的通报材料、网上教学督导听评课安排表、听课本记录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近3年综合教学检查工作方案、通知、反馈意见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 有教学团队建设运行、人员资金等方面的支持的政策、评价激励办法。能够以教学团队落实教学过程、开展教研活动、保证教学效果且有据可查。教学团队实施教学服务充分，积极参与国开核心团队工作（20分）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市校组织教学实施团队的数量和比例（6分）</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参加国开核心教学团队工作情况（6分）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教学团队管理办法及实施方案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课程网络教学实施团队一览表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每学期课程教学团队教研活动及其他过程性材料和工作总结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典型团队案例材料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思政课程教学团队工作相关材料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市校参与湖南分部和国开总部教学团队的情况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 国开学习网上的教与学关键数据指标良好（20分）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（47)教师平均在线天数（4分）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(48)学生平均在线天数（4分）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（49）教师人均在线行为次数（4分）            （50）生均在线学习行为次数（4分）        （51）学生帖回复率（4分）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近3年各学期国开学习网各项数据</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学校关于进一步加强学习网教学管理办法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每学期网上教学情况通报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 实践教学（40分）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4.3.1 有实践教学基地和能够满足专业课程实践教学需要的虚拟仿真实训软件或线下实践环境，落实课程实践教学（20分）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(52)实践教学基地和满足专业课程实践教学需要的虚拟仿真实训软件或线下实践环境情况（10分）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（53）与合作方签订有效的实践教学协议，实践教学开展记录的情况（10分）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专业实践教学方案</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实践教学基地管理办法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实践教学基地评优材料（含通知、标准等）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农民大学生实践基地一览表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开放教育实践基地一览表（包括实践教学基地协议汇编册、实践教学基地基本情况介绍）</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每学期实践教学活动方案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实践教学工作档案（包括活动教案、照片、新闻报道、签到表、实践报告）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 毕业实践环节教师指导人数符合规定且指导充分。毕业答辩、审核过程规范、结果严谨（20分）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（54）有每学期指导教师名单和学生名单，指导人数符合规定（4分）  （55）论文指导正确到位的情况（8分）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（56）毕业答辩和审核管理规范的情况（8分）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毕业作业、毕业论文（设计）管理规范（包括指导人数、资质、写作要求等）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各专业毕业论文（设计）实施方案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每学期毕业论文（设计）工作安排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每学期毕业论文（设计）工作总结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每学期毕业实践环节指导老师名单（附指导老师资质材料及证明材料）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每学期毕业实践环节学生名单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每学期毕业实践环节指导安排表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每学期毕业论文（设计）指导过程性材料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优秀毕业论文（设计）汇编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各分校毕业作业、毕业论文（设计）工作方案（包括抽审、复审、答辩工作安排）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论文答辩主持人资质材料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每个学生的答辩记录及场景照片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答辩工作总结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湖南分部对各分校的专科毕业作业抽检情况通报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 湖南分部对各分校的本科毕业论文（设计）终审情况通报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 师德、思政与学生活动（20分）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4.4.1师德师风建设情况和落实国开教师行为规范情况；思政课程教学、研究、培训，落实推进课程思政开展情况及效果（10分）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陈献忠</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监察室、办公室、</w:t>
            </w: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(57)师德师风建设情况和落实国开教师行为规范情况（5分）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（58）思政课程教学、研究、培训，落实推进课程思政开展情况及效果（5分）</w:t>
            </w:r>
          </w:p>
        </w:tc>
        <w:tc>
          <w:tcPr>
            <w:tcW w:w="94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监察室、办公室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有关师德师风建设方面的文件、规定、办法，领导关于此内容的讲话稿。</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强化师德师风建设的会议材料、研讨、培训等材料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师德师风评优评奖材料（含报道）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开展师德师风教育相关新闻报道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开展青年教师思想政治教育相关新闻报道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教师近三年参加师德师风培训情况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师德师风建设工作小结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8.有关思政课程、课程思政等方面的文件、规定、办法（包括学校与教务科下发文件，如《关于做好开放教育…》）</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强化思政课程建设、课程思政建设的会议材料、研讨、培训等材料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课程思政的竞赛活动材料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有关师德师风建设、思政课程、课程思政等方面的研究课题、项目及进展情况，教改项目文件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思政课程教学大纲与实施方案（提供1-2门课程）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课程思政典型案例（提供1-2个）</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教师誓词</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4.4.2 学生思想政治教育，学生社团、党团等组织立德树人教育活动开展情况及效果（10分）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宋体" w:hAnsi="宋体" w:eastAsia="宋体" w:cs="宋体"/>
                <w:i w:val="0"/>
                <w:iCs w:val="0"/>
                <w:color w:val="000000"/>
                <w:spacing w:val="-6"/>
                <w:kern w:val="0"/>
                <w:sz w:val="20"/>
                <w:szCs w:val="20"/>
                <w:highlight w:val="none"/>
                <w:u w:val="none"/>
                <w:lang w:val="en-US" w:eastAsia="zh-CN" w:bidi="ar"/>
              </w:rPr>
              <w:t>（59）学生思政教育、立德树人教育活动的记录和效果（6分）</w:t>
            </w:r>
          </w:p>
          <w:p>
            <w:pPr>
              <w:keepNext w:val="0"/>
              <w:keepLines w:val="0"/>
              <w:widowControl/>
              <w:suppressLineNumbers w:val="0"/>
              <w:jc w:val="left"/>
              <w:textAlignment w:val="center"/>
              <w:rPr>
                <w:rFonts w:hint="eastAsia" w:ascii="宋体" w:hAnsi="宋体" w:eastAsia="宋体" w:cs="宋体"/>
                <w:i w:val="0"/>
                <w:iCs w:val="0"/>
                <w:color w:val="000000"/>
                <w:spacing w:val="-6"/>
                <w:sz w:val="20"/>
                <w:szCs w:val="20"/>
                <w:highlight w:val="none"/>
                <w:u w:val="none"/>
              </w:rPr>
            </w:pPr>
            <w:r>
              <w:rPr>
                <w:rFonts w:hint="eastAsia" w:ascii="宋体" w:hAnsi="宋体" w:eastAsia="宋体" w:cs="宋体"/>
                <w:i w:val="0"/>
                <w:iCs w:val="0"/>
                <w:color w:val="000000"/>
                <w:spacing w:val="-6"/>
                <w:kern w:val="0"/>
                <w:sz w:val="20"/>
                <w:szCs w:val="20"/>
                <w:highlight w:val="none"/>
                <w:u w:val="none"/>
                <w:lang w:val="en-US" w:eastAsia="zh-CN" w:bidi="ar"/>
              </w:rPr>
              <w:t>（60）学生社团活动及学生参与度、学生党团组织及运行情况（4分）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有关学生思想政治教育工作、学风建设、学生社团组织建设的文件、办法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学生社团、党团组织汇总表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学生社团、党团组织成立文件与组织介绍</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各社团年度计划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pacing w:val="-6"/>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社团组织运行情况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4.5形成性考核和终结性考试的组织、实施、评阅和成绩管理（90分）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4.5.1认真执行形成性考核的规定和要求，评阅和成绩管理严格，存档规范（15分）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宋体" w:hAnsi="宋体" w:eastAsia="宋体" w:cs="宋体"/>
                <w:i w:val="0"/>
                <w:iCs w:val="0"/>
                <w:color w:val="000000"/>
                <w:spacing w:val="-6"/>
                <w:kern w:val="0"/>
                <w:sz w:val="20"/>
                <w:szCs w:val="20"/>
                <w:highlight w:val="none"/>
                <w:u w:val="none"/>
                <w:lang w:val="en-US" w:eastAsia="zh-CN" w:bidi="ar"/>
              </w:rPr>
              <w:t>(61)纸质形考作业评阅过程中教师签名、打分的情况，在作业评阅中体现教学反馈情况（7分）（62）网上形考作业提交及时，批改及时，登分无差错（6分）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pacing w:val="-6"/>
                <w:sz w:val="20"/>
                <w:szCs w:val="20"/>
                <w:highlight w:val="none"/>
                <w:u w:val="none"/>
              </w:rPr>
            </w:pPr>
            <w:r>
              <w:rPr>
                <w:rFonts w:hint="eastAsia" w:ascii="宋体" w:hAnsi="宋体" w:eastAsia="宋体" w:cs="宋体"/>
                <w:i w:val="0"/>
                <w:iCs w:val="0"/>
                <w:color w:val="000000"/>
                <w:spacing w:val="-6"/>
                <w:kern w:val="0"/>
                <w:sz w:val="20"/>
                <w:szCs w:val="20"/>
                <w:highlight w:val="none"/>
                <w:u w:val="none"/>
                <w:lang w:val="en-US" w:eastAsia="zh-CN" w:bidi="ar"/>
              </w:rPr>
              <w:t>（63）存档规范（2分）存档缺失严重的，此项得分不得超过5分。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省校/市校形成性考核管理办法</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每学期课程形考安排一览表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各学期纸质形考课程成绩登记表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市校、教学点每学期纸制形考作业评阅教师汇总表（至少包括教师姓名、专业背景、职称等方面的信息）</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市校每门纸质形考作业情况统计表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形成性考核完成情况定期检查结果（每学期3次）</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教学检查通知、方案（须有形考作业检查的相关要求）</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4.5.2有定期检查形成性考核完成情况和评阅质量的机制（20分）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（64）定期检查形成性考核完成情况和评阅质量的机制情况（20分）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转发国开《国家开放大学开放教育教学过程管理规范(试行)》的文件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转发省校《关于进一步加强开放教育教学过程管理的实施意见（试行）》的文件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综合教学检查工作的文件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课程形成性考核管理办法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形成性作业评阅规范</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形成性成绩审核与上报流程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综合教学检查反馈意见</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4.5.3 严格落实国家开放大学关于终结性考试的各项要求；考试组织与管理规范，认真组织考务人员业务培训，有效组织蹲考、巡考工作；有效落实学生诚信教育；严管考风考纪，对违纪学生及时处理、通报曝光（35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（65）落实国开终结性考试文件要求，及时下发并有效落实情况（5分）（66）组织考试工作人员（含主考、巡考人员、监考人员）业务培训和考核，落实考试工作人员持证上岗要求情况（10分）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（67）有效组织蹲考、巡考工作情况（8分）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（68）有效落实学生诚信教育情况（5分）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（69）及时严肃处理违规事件、通报曝光（7分）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（70）近一年存在严重考试违规行为，或者考试组织造成不良社会影响的本项不得分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国开、省校、市校有关终结性考试制度文件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每学期下发的期末考试工作文件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市校与各县点每学期组考工作方案（包括考务工作视频会议文件、考务培训有关材料；巡考工作手册、文件及巡考培训材料；考试巡查情况汇报表等）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每学期试卷流向统计表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每学期期末考试安全工作承诺书（各级考点主考对上层主考的承诺书、蹲考、巡考、监考人员对主考承诺书等）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每学期市校考试工作会议材料（包括保密、蹲考、巡考、监考人员业务培训会议材料）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市校每学期蹲考、巡考安排及蹲考、巡考工作总结汇报材料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市校与各县点落实学生诚信教育、严格考风考纪的支撑材料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每学期期末考试工作总结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近3年考点设置申报、审批材料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整治替考专项行动相关文件、市校落实专项行动工作报告及替考处理结果通报材料；每学期各考点违规事件、违规考生情况通报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4.5.4 终结性考试试卷接收、入库、分发、评阅、成绩登录及管理等环节组织严密，管理严格规范（20分）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（71）试卷接收、入库、分发、评阅等环节规范有序可查，严格落实抽检的情况（7分）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（72）成绩登录及管理等环节组织严密，管理严格规范的情况（7分）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（73）定期开展考试成绩分析并反馈教学环节的情况（6分）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终结性考试试卷接收、入库、分发、评阅、成绩登录及管理的制度与工作流程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以上各环节的工作安排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以上各环节的支撑材料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分学期汇总试卷分析</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阅卷质量检查原始记录表汇总</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雷同试卷专项整治支撑材料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市校查分、查阅原始材料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 学习支持服务和满意度（50分）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4.6.1 能及时解决学生学习过程中遇到的各种问题；由专人负责或有专门渠道及时提供学生咨询服务，处理及时，学生对处理结果满意度高（15分）4.6.2 使用电话、网络、手机App、线下等多种方式向学生提供学术、非学术支持服务（15分）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开放教育学院、</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教务处   </w:t>
            </w:r>
          </w:p>
        </w:tc>
        <w:tc>
          <w:tcPr>
            <w:tcW w:w="1890" w:type="dxa"/>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(74)学校对学生学习支持服务事务的响应速度情况（5分）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(75)由专人负责或有专门渠道及时提供学生咨询服务情况（3分）          （76）处理及时（4分）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（77）学生对处理结果的满意度（3分）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（78）省校向学生提供学习支持服务的工具具有多样性，学生可以通过多种方式获取支持服务的情况（10分）         （79）省校向学生提供的支持服务的内容具有广泛性，覆盖学术和非学术两方面的情况（5分）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市校与各县点学习支持服务的制度、流程、规范等文件</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首问负责制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学术支持服务人员信息一览表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市校：专业责任教师、课程责任教师</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涉及的学习支持服务工具：公布邮箱、微信公众号、电话号码、手机号、接待室等服务渠道</w:t>
            </w:r>
            <w:bookmarkStart w:id="0" w:name="_GoBack"/>
            <w:bookmarkEnd w:id="0"/>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非学术支持服务人员信息一览表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市校涉及部门：招生办、教务处、开放教育学院、学习支持服务中心、监察室</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分年度学术支持服务工作台账（有处理响应速度、处理过程、处理结果等）</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分年度非学术支持服务工作台账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学术支撑典型材料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非学术支撑典型材料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开展导学服务相关材料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学校实训场所及开展实训活动相关报道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考试管理系统平台</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考试真题模拟系统小程序使用手册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考试真题模拟系统App使用手册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 支持开展满意度调查，学生、毕业生对学校教学和服务等方面满意度高（20分）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（80）很满意≥50%或满意≥90%（20分），其他情况如满意度调查完成率不足60%等酌情减分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分学年全省开大系统毕业生满意度调查完成情况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分学年全省开大系统毕业生满意度调查满意率结果统计表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分学年用人单位满意度调查完成情况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分学年用人单位满意度调查满意率结果统计表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市校参与国家开放大学毕业生和用人单位满意度调查通知文件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市校开展学生满意度调查(案例)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满意度调查结果运用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满意度调查参与度列入分部系统办学评估指标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 学籍、毕业及学位管理（30分）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4.7.1 学籍管理流程规范，有与学生规模相适应的学籍管理人员，学生档案保存良好，关键环节落实到位（6分）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（81）学籍管理制度完整，流程执行规范（3分）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（82）学籍管理岗位人员与学生规模相适应（3分）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学籍管理制度、流程、规范等文件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湖南分部与分校学籍管理岗位人员与学生规模统计表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学籍档案材料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市校学籍问题处理材料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4.7.2 毕业管理过程规范，关键环节落实到位（6分）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（83）毕业生登记表填写规范情况（2分）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（84）毕业资格审核规范情况（4分）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毕业管理、毕业资格审查规范性文件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毕业资格审查工作安排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分学期毕业生登记表填写情况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4.7.3 学位管理流程规范，学位审核严谨，关键环节落实到位（6分）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（85）学位审核表填写规范情况（2分）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（86）审核意见填写规范情况（4分）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学位管理制度、流程、规范等文件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学位审核工作安排</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学位审核表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学校学位审核委员会成立文件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4.7.4 毕业证书和学位证书保管得当、发放及时（6分）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（87）毕业证书保存、移交和发放签收规范情况（3分）（88）学位证书保存、移交和发放签收规范情况（3分）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毕业证书管理办法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毕业证书领取、移交、发放、签收情况统计表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 免修免考管理流程规范，审核严谨，反馈及时（6分）</w:t>
            </w:r>
          </w:p>
        </w:tc>
        <w:tc>
          <w:tcPr>
            <w:tcW w:w="851" w:type="dxa"/>
            <w:vMerge w:val="restart"/>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（89）省校按规范标准进行免修免考审核并上报的情况（4分）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（90）反馈结果及时（2分）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免修、免考管理制度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每学期免修、免考情况统计表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9"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每学期免修、免考审核原始材料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质量管理（120分）</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 执行国家开放大学质量标准、落实质量报告工作、完成评估检查及整改工作的情况（50分）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 严格执行国家开放大学质量标准，并组织全省开大系统贯彻落实（20分）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开放教育学院、教务处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(91)市校执行国家开放大学质量标准，教职工对质量标准知晓度的情况（10分）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（92）在全市开大系统组织贯彻落实的情况（10分）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《国家开放大学质量标准1.0》</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省校质量标准编制、发布与管理办法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省校根据《国家开放大学质量标准1.0》印发的学习手册</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质量标准培训会议资料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5.1.2 质量报告编制认真，全省开大系统有落实年报报送与发布的机制（10分）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开放教育学院、招生与系统建设处</w:t>
            </w:r>
          </w:p>
        </w:tc>
        <w:tc>
          <w:tcPr>
            <w:tcW w:w="1890" w:type="dxa"/>
            <w:vMerge w:val="restart"/>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（93）质量报告编写认真，报送及时的情况（5分）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（94）全市开大系统落实年报报送与发布的机制的情况（5分）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开放教育学院、招生与系统建设处   </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开放教育年度质量报告编制办法（省校要求）</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市校与各县站年度质量报告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教学质量监控与评价工作制度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落实部署湖南开放大学年质量报告工作文件的相关材料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组织编制质量报告工作材料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《国家开放大学年度质量报告》引用的经验和做法材料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 落实国开/省校评价评估、检查督导等工作要求并有效整改（20分）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（95）按国开/省校部署，制定工作方案、明确领导小组和工作小组，如期推进相关工作的情况（12分）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（96）对国开/省校评估、检查、督导发现的问题有效整改的情况（8分）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开放教育学院      </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质量评估评价管理办法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国开/省校质量评估评价工作部署文件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市校质量评估评价年度工作方案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评估检查工作总结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1"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分年度评估、检查、督导发现的问题及整改清单（明确评估、检查、督导的具体内涵）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湖南开放大学教学检查通报（近3年）</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落实国开/省校开展年度综合教学检查材料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落实国开/省校综合教学检查有效整改材料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教学质量简报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疫情防控期间参与国开/省校网上教学督导工作材料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 市校质量管理团队和质量保证体系的建设与运行（70分）</w:t>
            </w: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5.2.1 持续完善全省开大系统办学的质量保证体系（20分）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开放教育学院、招生与系统建设处、办公室</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（97）市校有完整质量保证体系，并有效执行（16-20分）；市校质量保证有措施，逐步完善，努力构建质量保证体系（6-15分）；市校没有有效质量保证措施（0-5分）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开放教育学院、招生与系统建设处、办公室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湖南开放大学质量保证体系1.0</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每年各类质量通报、内部函件、统计表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各类会议、专题研讨整改会议资料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各类竞赛、评优、评选资料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5.2.2 市校设有专人专职负责质量管理，各县点有专职人员负责质量管理；全市开大系统建有质量管理团队且工作有效（20分）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(98)市校质量管理岗位设置情况（6分）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(99)指导县站质量管理岗位设置情况（4分）</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（100）全市开大系统质量管理团队及工作情况（10分）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学校关于质量部门的三定（定员、定编、定岗）方案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部门岗位设置一览表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岗位职责</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根据工作需要增设的临时岗位（部门申请及领导批示性文件）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分校年度考核指标体系</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市校质量管理岗位设置一览表（分管副校长、科室及质量管理工作人员名单）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每年质量管理工作总结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质量管理日常工作开展情况（QQ群工作内容截图：分年度，按专题）</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《国家开放大学质量报告》引用分部的经验和做法材料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质量管理优秀案例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教学质量管理优秀案例汇编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 定期或不定期开展对各县点的教学检查、评估、督导，通报结果并督促整改，违纪违规处置有记录（30分）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（101）定期开展情况，覆盖县级电大的情况，通报结果、督促整改情况，违纪违规处置记录情况（30分）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分年度湖南分部教学检查文件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分年度教学检查工作方案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教学检查总结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分年度湖南分部给我校的反馈意见及整改情况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分年度质量因子通报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学生、教师网上教学行为情况通报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分年度在线直播情况通报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教学检查QQ群、微信群工作资料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开展开学初教学数据统计数据的相关材料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开展形成性考核及综合实践成绩核查的工作材科</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教学督导材料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办学评估材料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教学质量简报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 有关检查新闻</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6.创新与服务（90分）</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 人才培养模式改革、教学改革、管理制度创新（40分）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r>
              <w:rPr>
                <w:rFonts w:hint="eastAsia" w:ascii="宋体" w:hAnsi="宋体" w:eastAsia="宋体" w:cs="宋体"/>
                <w:i w:val="0"/>
                <w:iCs w:val="0"/>
                <w:color w:val="000000"/>
                <w:spacing w:val="-6"/>
                <w:kern w:val="0"/>
                <w:sz w:val="20"/>
                <w:szCs w:val="20"/>
                <w:highlight w:val="none"/>
                <w:u w:val="none"/>
                <w:lang w:val="en-US" w:eastAsia="zh-CN" w:bidi="ar"/>
              </w:rPr>
              <w:t>.1.1 积极参加国开/省校组织的教学改革试点，教学改革、人才培养模式改革思路清晰，有举措、有进展（20分）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（102）人才培养模式改革，以及教学模式、管理模式、运行机制的提炼表述情况（10分）（103）改革的措施、进展、痕迹、成效情况（10分）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人才培养模式改革措施、进展、痕迹与成果</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管理及运行机制模式改革措施、进展、痕迹与成果</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开放教育学院      </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教学模式改革措施、进展、痕迹与成果</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参与国家教改项目资料汇编（包括申报）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参与省校开放教育教改项目资料汇编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教学改革专项立项结果的通知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教学改革专项立项评审方案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 教学管理制度建设有创新（20分）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（104）教学管理制度建设在全面规范基础上的特色、创新程度（10分）（105）可复制、可推广的程度（10分）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教学管理制度汇编</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特色制度及成效</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直播课程管理制度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学习支持/资源服务管理制度</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创新制度复制、推广情况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思想政治理论课网络教学实施团队建设方案的相关材料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网络教学团队建设与管理办法的相关材料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课程教材选用规定的相关材料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网络教学团队考核的相关材料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校外实践教学基地建设与管理办法的相关材料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网上教学活动规范（试行）的通知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专业建设管理办法(试行)的通知</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 服务经济社会发展的效果与影响（50分）</w:t>
            </w:r>
          </w:p>
        </w:tc>
        <w:tc>
          <w:tcPr>
            <w:tcW w:w="15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6.2.1 积极服务区域经济社会发展，在当地的社会影响正面、较好（25分）</w:t>
            </w:r>
          </w:p>
        </w:tc>
        <w:tc>
          <w:tcPr>
            <w:tcW w:w="8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谭罗平</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刘  燕</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李惠芳</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周程宏</w:t>
            </w: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教务处、开放教育学院、终身教育与科研处、继续教育学院、教师发展中心、成人教育学院</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（106）学历教育人才培养在当地的正面社会影响情况（10分）     （107）非学历教育及社区老年教育、社会培训、学分银行等在当地的正面社会影响情况（15分）</w:t>
            </w: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教务处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分学期毕业生情况统计表（包含分校、专业、人数、专/本科）</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创新、创业大赛工作报告</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创新、创业大赛典型材料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学生各类获奖情况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优秀毕业生典型案例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教育教学毕业生等先进事迹新闻报道</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783"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18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教师各类获奖情况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分年度老年教育/社区教育/干部在线/统计报表及相关工作总结、典型案例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终身教育与科研处、</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继续教育学院、办公室、教师发展中心</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市校推进非学历教育有关工作总结、典型材料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成人教育学院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市校开展的其他学历教育办学材料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6.2.2 当地政府或教育行政部门对办学单位有政策、项目的支持或投入（10分）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谭罗平</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  燕李惠芳</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周程宏</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783"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办公室、开放教育学院、终身教育与科研处、计划财务处</w:t>
            </w:r>
          </w:p>
        </w:tc>
        <w:tc>
          <w:tcPr>
            <w:tcW w:w="1890" w:type="dxa"/>
            <w:vMerge w:val="restart"/>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(108)当地政府或教育行政部门对开放大学办学有支持性政策性批文（5分）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（109）当地政府或教育行政部门对开放大学的项目立项、财政拨款情况（5分）</w:t>
            </w: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湖南省十四五规划文件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益阳开放大学成立批文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各县点开放大学成立批文</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当地政府对各市市开放大学的政策性文件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农民大学生项目支持的政策性文件</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终身教育重点项目建设工作的相关材料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开展学分银行的相关材料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783"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每年财政拨款情况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教育厅关于下达省级教学成果奖奖励经费的相关材料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6.2.3 取得高水平教学科研成果，培养的学生获得政府奖励或在地方有影响力（15分）</w:t>
            </w:r>
          </w:p>
        </w:tc>
        <w:tc>
          <w:tcPr>
            <w:tcW w:w="85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谭罗平刘  燕</w:t>
            </w:r>
          </w:p>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李惠芳</w:t>
            </w:r>
          </w:p>
        </w:tc>
        <w:tc>
          <w:tcPr>
            <w:tcW w:w="7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终身教育与科研处、开放教育学院</w:t>
            </w:r>
          </w:p>
        </w:tc>
        <w:tc>
          <w:tcPr>
            <w:tcW w:w="189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（110）获得国家级教学科研成果情况（10分）      （111）培养的学生获得政府奖励或在地方影响的情况（5分）</w:t>
            </w:r>
          </w:p>
        </w:tc>
        <w:tc>
          <w:tcPr>
            <w:tcW w:w="94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终身教育与科研处、计划财务处</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国家级教育教学成果奖文件材料</w:t>
            </w:r>
          </w:p>
        </w:tc>
        <w:tc>
          <w:tcPr>
            <w:tcW w:w="9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此项三级指标的其他支撑材料，县站参考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 国家级科研成果立项情况</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 省级教育教学成果奖获奖项目的材料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学校对科研成果进行奖励的材料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 纵向课题立项及配套经费</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 自然科学基金项目</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 市校及各县点科研经费管理办法</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783"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开放教育学院</w:t>
            </w: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 新冠肺炎疫情防控学生优秀案例</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 历届学生获政府奖励一览表</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 各级党代表材料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 各级人大代表材料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 各级政协代表材料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1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51"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83"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45"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4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 脱贫攻坚与乡村振兴毕业生材料</w:t>
            </w:r>
          </w:p>
        </w:tc>
        <w:tc>
          <w:tcPr>
            <w:tcW w:w="972" w:type="dxa"/>
            <w:vMerge w:val="continue"/>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13892" w:type="dxa"/>
            <w:gridSpan w:val="8"/>
            <w:tcBorders>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说明：</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具体观测点赋分时，凡内容表述意为“情况”“程度”的，评估时视实际程度赋分；凡内容表述意为“有无”的，评估时视实际情况打满分或零分。</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每项得分必须是整数。</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支撑材料目录仅供建议参考，各科室若有其他相关材料可一并纳入。</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各牵头部门负责人把关各自材料，由分管校领导审定后交招生与系统建设处。</w:t>
            </w:r>
          </w:p>
        </w:tc>
        <w:tc>
          <w:tcPr>
            <w:tcW w:w="972" w:type="dxa"/>
            <w:tcBorders>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sectPr>
          <w:footerReference r:id="rId3" w:type="default"/>
          <w:pgSz w:w="16838" w:h="11906" w:orient="landscape"/>
          <w:pgMar w:top="1247" w:right="850" w:bottom="1020" w:left="1020"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olor w:val="000000"/>
          <w:kern w:val="0"/>
          <w:sz w:val="36"/>
          <w:szCs w:val="36"/>
          <w:u w:val="none"/>
          <w:lang w:val="en-US" w:eastAsia="zh-CN" w:bidi="ar"/>
        </w:rPr>
      </w:pPr>
    </w:p>
    <w:tbl>
      <w:tblPr>
        <w:tblStyle w:val="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851"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firstLine="28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益阳</w:t>
            </w:r>
            <w:r>
              <w:rPr>
                <w:rFonts w:hint="eastAsia" w:ascii="仿宋_GB2312" w:hAnsi="仿宋_GB2312" w:eastAsia="仿宋_GB2312" w:cs="仿宋_GB2312"/>
                <w:sz w:val="28"/>
                <w:szCs w:val="28"/>
                <w:lang w:val="en-US" w:eastAsia="zh-CN"/>
              </w:rPr>
              <w:t>开放</w:t>
            </w:r>
            <w:r>
              <w:rPr>
                <w:rFonts w:hint="eastAsia" w:ascii="仿宋_GB2312" w:hAnsi="仿宋_GB2312" w:eastAsia="仿宋_GB2312" w:cs="仿宋_GB2312"/>
                <w:sz w:val="28"/>
                <w:szCs w:val="28"/>
              </w:rPr>
              <w:t xml:space="preserve">大学党政办公室         </w:t>
            </w:r>
            <w:r>
              <w:rPr>
                <w:rFonts w:hint="eastAsia" w:ascii="仿宋_GB2312" w:hAnsi="仿宋_GB2312" w:eastAsia="仿宋_GB2312" w:cs="仿宋_GB2312"/>
                <w:sz w:val="28"/>
                <w:szCs w:val="28"/>
                <w:lang w:val="en-US" w:eastAsia="zh-CN"/>
              </w:rPr>
              <w:t xml:space="preserve">       2022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cs="宋体"/>
          <w:b/>
          <w:bCs/>
          <w:i w:val="0"/>
          <w:iCs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cs="宋体"/>
          <w:b/>
          <w:bCs/>
          <w:i w:val="0"/>
          <w:iCs w:val="0"/>
          <w:color w:val="000000"/>
          <w:kern w:val="0"/>
          <w:sz w:val="36"/>
          <w:szCs w:val="36"/>
          <w:u w:val="none"/>
          <w:lang w:val="en-US" w:eastAsia="zh-CN" w:bidi="ar"/>
        </w:rPr>
      </w:pPr>
    </w:p>
    <w:sectPr>
      <w:pgSz w:w="11906" w:h="16838"/>
      <w:pgMar w:top="2098" w:right="1474" w:bottom="1417" w:left="1587"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15C96"/>
    <w:multiLevelType w:val="singleLevel"/>
    <w:tmpl w:val="90715C96"/>
    <w:lvl w:ilvl="0" w:tentative="0">
      <w:start w:val="15"/>
      <w:numFmt w:val="decimal"/>
      <w:suff w:val="nothing"/>
      <w:lvlText w:val="（%1）"/>
      <w:lvlJc w:val="left"/>
    </w:lvl>
  </w:abstractNum>
  <w:abstractNum w:abstractNumId="1">
    <w:nsid w:val="99EFCB97"/>
    <w:multiLevelType w:val="singleLevel"/>
    <w:tmpl w:val="99EFCB97"/>
    <w:lvl w:ilvl="0" w:tentative="0">
      <w:start w:val="10"/>
      <w:numFmt w:val="decimal"/>
      <w:suff w:val="nothing"/>
      <w:lvlText w:val="（%1）"/>
      <w:lvlJc w:val="left"/>
    </w:lvl>
  </w:abstractNum>
  <w:abstractNum w:abstractNumId="2">
    <w:nsid w:val="9CEA80FB"/>
    <w:multiLevelType w:val="singleLevel"/>
    <w:tmpl w:val="9CEA80FB"/>
    <w:lvl w:ilvl="0" w:tentative="0">
      <w:start w:val="1"/>
      <w:numFmt w:val="decimal"/>
      <w:suff w:val="space"/>
      <w:lvlText w:val="%1."/>
      <w:lvlJc w:val="left"/>
    </w:lvl>
  </w:abstractNum>
  <w:abstractNum w:abstractNumId="3">
    <w:nsid w:val="B7616AD2"/>
    <w:multiLevelType w:val="singleLevel"/>
    <w:tmpl w:val="B7616AD2"/>
    <w:lvl w:ilvl="0" w:tentative="0">
      <w:start w:val="45"/>
      <w:numFmt w:val="decimal"/>
      <w:suff w:val="nothing"/>
      <w:lvlText w:val="（%1）"/>
      <w:lvlJc w:val="left"/>
    </w:lvl>
  </w:abstractNum>
  <w:abstractNum w:abstractNumId="4">
    <w:nsid w:val="CE43B30A"/>
    <w:multiLevelType w:val="singleLevel"/>
    <w:tmpl w:val="CE43B30A"/>
    <w:lvl w:ilvl="0" w:tentative="0">
      <w:start w:val="1"/>
      <w:numFmt w:val="decimal"/>
      <w:suff w:val="space"/>
      <w:lvlText w:val="%1."/>
      <w:lvlJc w:val="left"/>
    </w:lvl>
  </w:abstractNum>
  <w:abstractNum w:abstractNumId="5">
    <w:nsid w:val="F721D636"/>
    <w:multiLevelType w:val="singleLevel"/>
    <w:tmpl w:val="F721D636"/>
    <w:lvl w:ilvl="0" w:tentative="0">
      <w:start w:val="1"/>
      <w:numFmt w:val="decimal"/>
      <w:suff w:val="space"/>
      <w:lvlText w:val="%1."/>
      <w:lvlJc w:val="left"/>
    </w:lvl>
  </w:abstractNum>
  <w:abstractNum w:abstractNumId="6">
    <w:nsid w:val="47F7449A"/>
    <w:multiLevelType w:val="singleLevel"/>
    <w:tmpl w:val="47F7449A"/>
    <w:lvl w:ilvl="0" w:tentative="0">
      <w:start w:val="1"/>
      <w:numFmt w:val="decimal"/>
      <w:suff w:val="space"/>
      <w:lvlText w:val="%1."/>
      <w:lvlJc w:val="left"/>
    </w:lvl>
  </w:abstractNum>
  <w:abstractNum w:abstractNumId="7">
    <w:nsid w:val="4FED953B"/>
    <w:multiLevelType w:val="singleLevel"/>
    <w:tmpl w:val="4FED953B"/>
    <w:lvl w:ilvl="0" w:tentative="0">
      <w:start w:val="11"/>
      <w:numFmt w:val="decimal"/>
      <w:suff w:val="space"/>
      <w:lvlText w:val="%1."/>
      <w:lvlJc w:val="left"/>
    </w:lvl>
  </w:abstractNum>
  <w:abstractNum w:abstractNumId="8">
    <w:nsid w:val="635E0959"/>
    <w:multiLevelType w:val="singleLevel"/>
    <w:tmpl w:val="635E0959"/>
    <w:lvl w:ilvl="0" w:tentative="0">
      <w:start w:val="1"/>
      <w:numFmt w:val="decimal"/>
      <w:suff w:val="space"/>
      <w:lvlText w:val="%1."/>
      <w:lvlJc w:val="left"/>
    </w:lvl>
  </w:abstractNum>
  <w:num w:numId="1">
    <w:abstractNumId w:val="6"/>
  </w:num>
  <w:num w:numId="2">
    <w:abstractNumId w:val="7"/>
  </w:num>
  <w:num w:numId="3">
    <w:abstractNumId w:val="1"/>
  </w:num>
  <w:num w:numId="4">
    <w:abstractNumId w:val="0"/>
  </w:num>
  <w:num w:numId="5">
    <w:abstractNumId w:val="5"/>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74057"/>
    <w:rsid w:val="000749E3"/>
    <w:rsid w:val="01CB385B"/>
    <w:rsid w:val="01EE084F"/>
    <w:rsid w:val="044C6E68"/>
    <w:rsid w:val="04E35252"/>
    <w:rsid w:val="06C76C7A"/>
    <w:rsid w:val="06E10E44"/>
    <w:rsid w:val="08374057"/>
    <w:rsid w:val="08E21B49"/>
    <w:rsid w:val="0AAC7730"/>
    <w:rsid w:val="0B5931E6"/>
    <w:rsid w:val="0DED0BE6"/>
    <w:rsid w:val="0EF21F89"/>
    <w:rsid w:val="0FE520C4"/>
    <w:rsid w:val="10086339"/>
    <w:rsid w:val="12B4677B"/>
    <w:rsid w:val="12DD4871"/>
    <w:rsid w:val="162B5B76"/>
    <w:rsid w:val="16CF5ACB"/>
    <w:rsid w:val="176265BB"/>
    <w:rsid w:val="17830DC6"/>
    <w:rsid w:val="178A7644"/>
    <w:rsid w:val="17E1714A"/>
    <w:rsid w:val="183F7516"/>
    <w:rsid w:val="196B3910"/>
    <w:rsid w:val="1A113891"/>
    <w:rsid w:val="1A4E7900"/>
    <w:rsid w:val="1B0C2831"/>
    <w:rsid w:val="1B2352E7"/>
    <w:rsid w:val="1B870AF9"/>
    <w:rsid w:val="1BF00219"/>
    <w:rsid w:val="1C113936"/>
    <w:rsid w:val="1CB931C5"/>
    <w:rsid w:val="1EC24DF1"/>
    <w:rsid w:val="1F536EA5"/>
    <w:rsid w:val="22237002"/>
    <w:rsid w:val="23493AF3"/>
    <w:rsid w:val="24DF5ABB"/>
    <w:rsid w:val="25EB3F71"/>
    <w:rsid w:val="25F10744"/>
    <w:rsid w:val="2C2E0FF2"/>
    <w:rsid w:val="2C4951DB"/>
    <w:rsid w:val="2CE36583"/>
    <w:rsid w:val="2DE75388"/>
    <w:rsid w:val="2F9F469B"/>
    <w:rsid w:val="31960791"/>
    <w:rsid w:val="31DE19BD"/>
    <w:rsid w:val="337A23A9"/>
    <w:rsid w:val="33CA52D4"/>
    <w:rsid w:val="345E559A"/>
    <w:rsid w:val="34955E0D"/>
    <w:rsid w:val="34A94F8C"/>
    <w:rsid w:val="371B23AA"/>
    <w:rsid w:val="388F0C8B"/>
    <w:rsid w:val="3BAB6759"/>
    <w:rsid w:val="3C552516"/>
    <w:rsid w:val="3E87373D"/>
    <w:rsid w:val="43F72EE3"/>
    <w:rsid w:val="461E5281"/>
    <w:rsid w:val="46854511"/>
    <w:rsid w:val="46F9712C"/>
    <w:rsid w:val="481A32B8"/>
    <w:rsid w:val="491503B5"/>
    <w:rsid w:val="4B106111"/>
    <w:rsid w:val="4E305CD9"/>
    <w:rsid w:val="523C47F3"/>
    <w:rsid w:val="54B32AF0"/>
    <w:rsid w:val="54D306A6"/>
    <w:rsid w:val="554D7983"/>
    <w:rsid w:val="56300229"/>
    <w:rsid w:val="57B76897"/>
    <w:rsid w:val="58BD134A"/>
    <w:rsid w:val="591666E5"/>
    <w:rsid w:val="5A563931"/>
    <w:rsid w:val="5A8E3445"/>
    <w:rsid w:val="5B712AD4"/>
    <w:rsid w:val="5E006BF4"/>
    <w:rsid w:val="5E9976B3"/>
    <w:rsid w:val="5EB97DCB"/>
    <w:rsid w:val="5F212AD7"/>
    <w:rsid w:val="5F5101A9"/>
    <w:rsid w:val="61E16279"/>
    <w:rsid w:val="62053C19"/>
    <w:rsid w:val="623C62E9"/>
    <w:rsid w:val="63336109"/>
    <w:rsid w:val="65CF43A4"/>
    <w:rsid w:val="66683574"/>
    <w:rsid w:val="67CB56C7"/>
    <w:rsid w:val="682A327B"/>
    <w:rsid w:val="682D3034"/>
    <w:rsid w:val="6A286E88"/>
    <w:rsid w:val="6AC553A1"/>
    <w:rsid w:val="6C9215A6"/>
    <w:rsid w:val="6F7B6AA3"/>
    <w:rsid w:val="70D955ED"/>
    <w:rsid w:val="714F5473"/>
    <w:rsid w:val="76EC0FD6"/>
    <w:rsid w:val="778E258C"/>
    <w:rsid w:val="7A3B5DA5"/>
    <w:rsid w:val="7E63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7">
    <w:name w:val="List Paragraph"/>
    <w:basedOn w:val="1"/>
    <w:qFormat/>
    <w:uiPriority w:val="34"/>
    <w:pPr>
      <w:ind w:firstLine="420" w:firstLineChars="200"/>
    </w:pPr>
  </w:style>
  <w:style w:type="paragraph" w:customStyle="1" w:styleId="8">
    <w:name w:val="_Style 37"/>
    <w:basedOn w:val="1"/>
    <w:next w:val="7"/>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16878</Words>
  <Characters>18076</Characters>
  <Lines>0</Lines>
  <Paragraphs>0</Paragraphs>
  <TotalTime>151</TotalTime>
  <ScaleCrop>false</ScaleCrop>
  <LinksUpToDate>false</LinksUpToDate>
  <CharactersWithSpaces>18896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2022-04-02T08:58:00Z</dcterms:created>
  <dc:creator>随风（辉煌图文·广告）</dc:creator>
  <cp:lastModifiedBy>DD</cp:lastModifiedBy>
  <cp:lastPrinted>2022-04-18T03:34:00Z</cp:lastPrinted>
  <dcterms:modified xsi:type="dcterms:W3CDTF">2022-04-26T03:00:30Z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6B494ACB64C04548BBD03EB439D65A6D</vt:lpwstr>
  </property>
</Properties>
</file>